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030A0"/>
        </w:rPr>
        <w:id w:val="1396165826"/>
        <w:docPartObj>
          <w:docPartGallery w:val="Cover Pages"/>
          <w:docPartUnique/>
        </w:docPartObj>
      </w:sdtPr>
      <w:sdtEndPr/>
      <w:sdtContent>
        <w:p w:rsidR="0049164E" w:rsidRDefault="005C5414">
          <w:r>
            <w:rPr>
              <w:rFonts w:eastAsia="Candara" w:cs="Times New Roman"/>
              <w:noProof/>
              <w:lang w:eastAsia="fr-FR"/>
            </w:rPr>
            <w:drawing>
              <wp:anchor distT="0" distB="0" distL="114300" distR="114300" simplePos="0" relativeHeight="251662846" behindDoc="0" locked="0" layoutInCell="1" allowOverlap="1" wp14:anchorId="6316E475" wp14:editId="00473AB1">
                <wp:simplePos x="0" y="0"/>
                <wp:positionH relativeFrom="column">
                  <wp:posOffset>4646930</wp:posOffset>
                </wp:positionH>
                <wp:positionV relativeFrom="paragraph">
                  <wp:posOffset>-104887</wp:posOffset>
                </wp:positionV>
                <wp:extent cx="1998133" cy="91440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133" cy="914400"/>
                        </a:xfrm>
                        <a:prstGeom prst="rect">
                          <a:avLst/>
                        </a:prstGeom>
                      </pic:spPr>
                    </pic:pic>
                  </a:graphicData>
                </a:graphic>
                <wp14:sizeRelH relativeFrom="page">
                  <wp14:pctWidth>0</wp14:pctWidth>
                </wp14:sizeRelH>
                <wp14:sizeRelV relativeFrom="page">
                  <wp14:pctHeight>0</wp14:pctHeight>
                </wp14:sizeRelV>
              </wp:anchor>
            </w:drawing>
          </w:r>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Description : 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7E0487">
                                    <w:pPr>
                                      <w:pStyle w:val="Sansinterligne"/>
                                      <w:rPr>
                                        <w:b/>
                                        <w:color w:val="612C51" w:themeColor="accent1"/>
                                        <w:sz w:val="80"/>
                                        <w:szCs w:val="80"/>
                                      </w:rPr>
                                    </w:pPr>
                                    <w:r w:rsidRPr="00DA2B39">
                                      <w:rPr>
                                        <w:b/>
                                        <w:color w:val="612C51" w:themeColor="accent1"/>
                                        <w:sz w:val="80"/>
                                        <w:szCs w:val="80"/>
                                      </w:rPr>
                                      <w:t xml:space="preserve">Chapitre </w:t>
                                    </w:r>
                                    <w:r w:rsidR="00165177">
                                      <w:rPr>
                                        <w:b/>
                                        <w:color w:val="612C51" w:themeColor="accent1"/>
                                        <w:sz w:val="80"/>
                                        <w:szCs w:val="80"/>
                                      </w:rPr>
                                      <w:t>2</w:t>
                                    </w:r>
                                    <w:r w:rsidR="00F072B9">
                                      <w:rPr>
                                        <w:b/>
                                        <w:color w:val="612C51" w:themeColor="accent1"/>
                                        <w:sz w:val="80"/>
                                        <w:szCs w:val="80"/>
                                      </w:rPr>
                                      <w:t>4</w:t>
                                    </w:r>
                                    <w:r w:rsidR="003F2B7A">
                                      <w:rPr>
                                        <w:b/>
                                        <w:color w:val="612C51" w:themeColor="accent1"/>
                                        <w:sz w:val="80"/>
                                        <w:szCs w:val="80"/>
                                      </w:rPr>
                                      <w:t>10</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 des sociétés cotées</w:t>
                                </w:r>
                              </w:p>
                              <w:p w:rsidR="007E0487" w:rsidRPr="00DA2B39" w:rsidRDefault="003F2B7A">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3F2B7A">
                                      <w:rPr>
                                        <w:b/>
                                        <w:color w:val="612C51" w:themeColor="accent1"/>
                                        <w:sz w:val="40"/>
                                      </w:rPr>
                                      <w:t>Marché réglementé actions</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Default="005C5414">
                                <w:pPr>
                                  <w:pStyle w:val="Sansinterligne"/>
                                  <w:rPr>
                                    <w:noProof/>
                                    <w:color w:val="612C51" w:themeColor="accent1"/>
                                    <w:sz w:val="20"/>
                                    <w:szCs w:val="20"/>
                                    <w:lang w:eastAsia="fr-FR"/>
                                  </w:rPr>
                                </w:pPr>
                              </w:p>
                              <w:p w:rsidR="003F2B7A" w:rsidRDefault="003F2B7A">
                                <w:pPr>
                                  <w:pStyle w:val="Sansinterligne"/>
                                  <w:rPr>
                                    <w:noProof/>
                                    <w:color w:val="612C51" w:themeColor="accent1"/>
                                    <w:sz w:val="20"/>
                                    <w:szCs w:val="20"/>
                                    <w:lang w:eastAsia="fr-FR"/>
                                  </w:rPr>
                                </w:pPr>
                              </w:p>
                              <w:p w:rsidR="003F2B7A" w:rsidRDefault="003F2B7A">
                                <w:pPr>
                                  <w:pStyle w:val="Sansinterligne"/>
                                  <w:rPr>
                                    <w:noProof/>
                                    <w:color w:val="612C51" w:themeColor="accent1"/>
                                    <w:sz w:val="20"/>
                                    <w:szCs w:val="20"/>
                                    <w:lang w:eastAsia="fr-FR"/>
                                  </w:rPr>
                                </w:pPr>
                              </w:p>
                              <w:p w:rsidR="003F2B7A" w:rsidRPr="00DA2B39" w:rsidRDefault="003F2B7A">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7E0487">
                              <w:pPr>
                                <w:pStyle w:val="Sansinterligne"/>
                                <w:rPr>
                                  <w:b/>
                                  <w:color w:val="612C51" w:themeColor="accent1"/>
                                  <w:sz w:val="80"/>
                                  <w:szCs w:val="80"/>
                                </w:rPr>
                              </w:pPr>
                              <w:r w:rsidRPr="00DA2B39">
                                <w:rPr>
                                  <w:b/>
                                  <w:color w:val="612C51" w:themeColor="accent1"/>
                                  <w:sz w:val="80"/>
                                  <w:szCs w:val="80"/>
                                </w:rPr>
                                <w:t xml:space="preserve">Chapitre </w:t>
                              </w:r>
                              <w:r w:rsidR="00165177">
                                <w:rPr>
                                  <w:b/>
                                  <w:color w:val="612C51" w:themeColor="accent1"/>
                                  <w:sz w:val="80"/>
                                  <w:szCs w:val="80"/>
                                </w:rPr>
                                <w:t>2</w:t>
                              </w:r>
                              <w:r w:rsidR="00F072B9">
                                <w:rPr>
                                  <w:b/>
                                  <w:color w:val="612C51" w:themeColor="accent1"/>
                                  <w:sz w:val="80"/>
                                  <w:szCs w:val="80"/>
                                </w:rPr>
                                <w:t>4</w:t>
                              </w:r>
                              <w:r w:rsidR="003F2B7A">
                                <w:rPr>
                                  <w:b/>
                                  <w:color w:val="612C51" w:themeColor="accent1"/>
                                  <w:sz w:val="80"/>
                                  <w:szCs w:val="80"/>
                                </w:rPr>
                                <w:t>10</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 des sociétés cotées</w:t>
                          </w:r>
                        </w:p>
                        <w:p w:rsidR="007E0487" w:rsidRPr="00DA2B39" w:rsidRDefault="003F2B7A">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3F2B7A">
                                <w:rPr>
                                  <w:b/>
                                  <w:color w:val="612C51" w:themeColor="accent1"/>
                                  <w:sz w:val="40"/>
                                </w:rPr>
                                <w:t>Marché réglementé actions</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Default="005C5414">
                          <w:pPr>
                            <w:pStyle w:val="Sansinterligne"/>
                            <w:rPr>
                              <w:noProof/>
                              <w:color w:val="612C51" w:themeColor="accent1"/>
                              <w:sz w:val="20"/>
                              <w:szCs w:val="20"/>
                              <w:lang w:eastAsia="fr-FR"/>
                            </w:rPr>
                          </w:pPr>
                        </w:p>
                        <w:p w:rsidR="003F2B7A" w:rsidRDefault="003F2B7A">
                          <w:pPr>
                            <w:pStyle w:val="Sansinterligne"/>
                            <w:rPr>
                              <w:noProof/>
                              <w:color w:val="612C51" w:themeColor="accent1"/>
                              <w:sz w:val="20"/>
                              <w:szCs w:val="20"/>
                              <w:lang w:eastAsia="fr-FR"/>
                            </w:rPr>
                          </w:pPr>
                        </w:p>
                        <w:p w:rsidR="003F2B7A" w:rsidRDefault="003F2B7A">
                          <w:pPr>
                            <w:pStyle w:val="Sansinterligne"/>
                            <w:rPr>
                              <w:noProof/>
                              <w:color w:val="612C51" w:themeColor="accent1"/>
                              <w:sz w:val="20"/>
                              <w:szCs w:val="20"/>
                              <w:lang w:eastAsia="fr-FR"/>
                            </w:rPr>
                          </w:pPr>
                        </w:p>
                        <w:p w:rsidR="003F2B7A" w:rsidRPr="00DA2B39" w:rsidRDefault="003F2B7A">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p w:rsidR="003F2B7A" w:rsidRDefault="003F2B7A">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2384246" w:history="1">
        <w:r w:rsidRPr="0008783F">
          <w:rPr>
            <w:rStyle w:val="Lienhypertexte"/>
          </w:rPr>
          <w:t>Section 100.</w:t>
        </w:r>
        <w:r>
          <w:rPr>
            <w:rFonts w:eastAsiaTheme="minorEastAsia"/>
            <w:b w:val="0"/>
            <w:color w:val="auto"/>
            <w:sz w:val="22"/>
            <w:lang w:eastAsia="fr-FR"/>
          </w:rPr>
          <w:tab/>
        </w:r>
        <w:r w:rsidRPr="0008783F">
          <w:rPr>
            <w:rStyle w:val="Lienhypertexte"/>
          </w:rPr>
          <w:t>Table des matières</w:t>
        </w:r>
        <w:r>
          <w:rPr>
            <w:webHidden/>
          </w:rPr>
          <w:tab/>
        </w:r>
        <w:r>
          <w:rPr>
            <w:webHidden/>
          </w:rPr>
          <w:fldChar w:fldCharType="begin"/>
        </w:r>
        <w:r>
          <w:rPr>
            <w:webHidden/>
          </w:rPr>
          <w:instrText xml:space="preserve"> PAGEREF _Toc452384246 \h </w:instrText>
        </w:r>
        <w:r>
          <w:rPr>
            <w:webHidden/>
          </w:rPr>
        </w:r>
        <w:r>
          <w:rPr>
            <w:webHidden/>
          </w:rPr>
          <w:fldChar w:fldCharType="separate"/>
        </w:r>
        <w:r>
          <w:rPr>
            <w:webHidden/>
          </w:rPr>
          <w:t>2</w:t>
        </w:r>
        <w:r>
          <w:rPr>
            <w:webHidden/>
          </w:rPr>
          <w:fldChar w:fldCharType="end"/>
        </w:r>
      </w:hyperlink>
    </w:p>
    <w:p w:rsidR="003F2B7A" w:rsidRDefault="003F2B7A">
      <w:pPr>
        <w:pStyle w:val="TM2"/>
        <w:tabs>
          <w:tab w:val="right" w:leader="dot" w:pos="9060"/>
        </w:tabs>
        <w:rPr>
          <w:rFonts w:asciiTheme="minorHAnsi" w:eastAsiaTheme="minorEastAsia" w:hAnsiTheme="minorHAnsi"/>
          <w:noProof/>
          <w:lang w:eastAsia="fr-FR"/>
        </w:rPr>
      </w:pPr>
      <w:hyperlink w:anchor="_Toc452384247" w:history="1">
        <w:r w:rsidRPr="0008783F">
          <w:rPr>
            <w:rStyle w:val="Lienhypertexte"/>
            <w:noProof/>
          </w:rPr>
          <w:t>Chapitre 2411 – Introduction au marché réglementé actions</w:t>
        </w:r>
        <w:r>
          <w:rPr>
            <w:noProof/>
            <w:webHidden/>
          </w:rPr>
          <w:tab/>
        </w:r>
        <w:r>
          <w:rPr>
            <w:noProof/>
            <w:webHidden/>
          </w:rPr>
          <w:fldChar w:fldCharType="begin"/>
        </w:r>
        <w:r>
          <w:rPr>
            <w:noProof/>
            <w:webHidden/>
          </w:rPr>
          <w:instrText xml:space="preserve"> PAGEREF _Toc452384247 \h </w:instrText>
        </w:r>
        <w:r>
          <w:rPr>
            <w:noProof/>
            <w:webHidden/>
          </w:rPr>
        </w:r>
        <w:r>
          <w:rPr>
            <w:noProof/>
            <w:webHidden/>
          </w:rPr>
          <w:fldChar w:fldCharType="separate"/>
        </w:r>
        <w:r>
          <w:rPr>
            <w:noProof/>
            <w:webHidden/>
          </w:rPr>
          <w:t>2</w:t>
        </w:r>
        <w:r>
          <w:rPr>
            <w:noProof/>
            <w:webHidden/>
          </w:rPr>
          <w:fldChar w:fldCharType="end"/>
        </w:r>
      </w:hyperlink>
    </w:p>
    <w:p w:rsidR="003F2B7A" w:rsidRDefault="003F2B7A">
      <w:pPr>
        <w:pStyle w:val="TM2"/>
        <w:tabs>
          <w:tab w:val="right" w:leader="dot" w:pos="9060"/>
        </w:tabs>
        <w:rPr>
          <w:rFonts w:asciiTheme="minorHAnsi" w:eastAsiaTheme="minorEastAsia" w:hAnsiTheme="minorHAnsi"/>
          <w:noProof/>
          <w:lang w:eastAsia="fr-FR"/>
        </w:rPr>
      </w:pPr>
      <w:hyperlink w:anchor="_Toc452384248" w:history="1">
        <w:r w:rsidRPr="0008783F">
          <w:rPr>
            <w:rStyle w:val="Lienhypertexte"/>
            <w:noProof/>
          </w:rPr>
          <w:t>Chapitre 2412 – Acceptation de la mission / nomination / renouvellement / cessation des fonctions</w:t>
        </w:r>
        <w:r>
          <w:rPr>
            <w:noProof/>
            <w:webHidden/>
          </w:rPr>
          <w:tab/>
        </w:r>
        <w:r>
          <w:rPr>
            <w:noProof/>
            <w:webHidden/>
          </w:rPr>
          <w:fldChar w:fldCharType="begin"/>
        </w:r>
        <w:r>
          <w:rPr>
            <w:noProof/>
            <w:webHidden/>
          </w:rPr>
          <w:instrText xml:space="preserve"> PAGEREF _Toc452384248 \h </w:instrText>
        </w:r>
        <w:r>
          <w:rPr>
            <w:noProof/>
            <w:webHidden/>
          </w:rPr>
        </w:r>
        <w:r>
          <w:rPr>
            <w:noProof/>
            <w:webHidden/>
          </w:rPr>
          <w:fldChar w:fldCharType="separate"/>
        </w:r>
        <w:r>
          <w:rPr>
            <w:noProof/>
            <w:webHidden/>
          </w:rPr>
          <w:t>2</w:t>
        </w:r>
        <w:r>
          <w:rPr>
            <w:noProof/>
            <w:webHidden/>
          </w:rPr>
          <w:fldChar w:fldCharType="end"/>
        </w:r>
      </w:hyperlink>
    </w:p>
    <w:p w:rsidR="003F2B7A" w:rsidRDefault="003F2B7A">
      <w:pPr>
        <w:pStyle w:val="TM2"/>
        <w:tabs>
          <w:tab w:val="right" w:leader="dot" w:pos="9060"/>
        </w:tabs>
        <w:rPr>
          <w:rFonts w:asciiTheme="minorHAnsi" w:eastAsiaTheme="minorEastAsia" w:hAnsiTheme="minorHAnsi"/>
          <w:noProof/>
          <w:lang w:eastAsia="fr-FR"/>
        </w:rPr>
      </w:pPr>
      <w:hyperlink w:anchor="_Toc452384249" w:history="1">
        <w:r w:rsidRPr="0008783F">
          <w:rPr>
            <w:rStyle w:val="Lienhypertexte"/>
            <w:noProof/>
          </w:rPr>
          <w:t>Chapitre 2413 – Obligations permanentes du commissaire aux comptes</w:t>
        </w:r>
        <w:r>
          <w:rPr>
            <w:noProof/>
            <w:webHidden/>
          </w:rPr>
          <w:tab/>
        </w:r>
        <w:r>
          <w:rPr>
            <w:noProof/>
            <w:webHidden/>
          </w:rPr>
          <w:fldChar w:fldCharType="begin"/>
        </w:r>
        <w:r>
          <w:rPr>
            <w:noProof/>
            <w:webHidden/>
          </w:rPr>
          <w:instrText xml:space="preserve"> PAGEREF _Toc452384249 \h </w:instrText>
        </w:r>
        <w:r>
          <w:rPr>
            <w:noProof/>
            <w:webHidden/>
          </w:rPr>
        </w:r>
        <w:r>
          <w:rPr>
            <w:noProof/>
            <w:webHidden/>
          </w:rPr>
          <w:fldChar w:fldCharType="separate"/>
        </w:r>
        <w:r>
          <w:rPr>
            <w:noProof/>
            <w:webHidden/>
          </w:rPr>
          <w:t>3</w:t>
        </w:r>
        <w:r>
          <w:rPr>
            <w:noProof/>
            <w:webHidden/>
          </w:rPr>
          <w:fldChar w:fldCharType="end"/>
        </w:r>
      </w:hyperlink>
    </w:p>
    <w:p w:rsidR="003F2B7A" w:rsidRDefault="003F2B7A">
      <w:pPr>
        <w:pStyle w:val="TM2"/>
        <w:tabs>
          <w:tab w:val="right" w:leader="dot" w:pos="9060"/>
        </w:tabs>
        <w:rPr>
          <w:rFonts w:asciiTheme="minorHAnsi" w:eastAsiaTheme="minorEastAsia" w:hAnsiTheme="minorHAnsi"/>
          <w:noProof/>
          <w:lang w:eastAsia="fr-FR"/>
        </w:rPr>
      </w:pPr>
      <w:hyperlink w:anchor="_Toc452384250" w:history="1">
        <w:r w:rsidRPr="0008783F">
          <w:rPr>
            <w:rStyle w:val="Lienhypertexte"/>
            <w:noProof/>
          </w:rPr>
          <w:t>Chapitre 2414 – Interventions périodiques du commissaire aux comptes</w:t>
        </w:r>
        <w:r>
          <w:rPr>
            <w:noProof/>
            <w:webHidden/>
          </w:rPr>
          <w:tab/>
        </w:r>
        <w:r>
          <w:rPr>
            <w:noProof/>
            <w:webHidden/>
          </w:rPr>
          <w:fldChar w:fldCharType="begin"/>
        </w:r>
        <w:r>
          <w:rPr>
            <w:noProof/>
            <w:webHidden/>
          </w:rPr>
          <w:instrText xml:space="preserve"> PAGEREF _Toc452384250 \h </w:instrText>
        </w:r>
        <w:r>
          <w:rPr>
            <w:noProof/>
            <w:webHidden/>
          </w:rPr>
        </w:r>
        <w:r>
          <w:rPr>
            <w:noProof/>
            <w:webHidden/>
          </w:rPr>
          <w:fldChar w:fldCharType="separate"/>
        </w:r>
        <w:r>
          <w:rPr>
            <w:noProof/>
            <w:webHidden/>
          </w:rPr>
          <w:t>6</w:t>
        </w:r>
        <w:r>
          <w:rPr>
            <w:noProof/>
            <w:webHidden/>
          </w:rPr>
          <w:fldChar w:fldCharType="end"/>
        </w:r>
      </w:hyperlink>
    </w:p>
    <w:p w:rsidR="003F2B7A" w:rsidRDefault="003F2B7A">
      <w:pPr>
        <w:pStyle w:val="TM2"/>
        <w:tabs>
          <w:tab w:val="right" w:leader="dot" w:pos="9060"/>
        </w:tabs>
        <w:rPr>
          <w:rFonts w:asciiTheme="minorHAnsi" w:eastAsiaTheme="minorEastAsia" w:hAnsiTheme="minorHAnsi"/>
          <w:noProof/>
          <w:lang w:eastAsia="fr-FR"/>
        </w:rPr>
      </w:pPr>
      <w:hyperlink w:anchor="_Toc452384251" w:history="1">
        <w:r w:rsidRPr="0008783F">
          <w:rPr>
            <w:rStyle w:val="Lienhypertexte"/>
            <w:noProof/>
          </w:rPr>
          <w:t xml:space="preserve">Chapitre 2415 – </w:t>
        </w:r>
        <w:bookmarkStart w:id="0" w:name="_GoBack"/>
        <w:bookmarkEnd w:id="0"/>
        <w:r w:rsidRPr="0008783F">
          <w:rPr>
            <w:rStyle w:val="Lienhypertexte"/>
            <w:noProof/>
          </w:rPr>
          <w:t>Opérations de marché</w:t>
        </w:r>
        <w:r>
          <w:rPr>
            <w:noProof/>
            <w:webHidden/>
          </w:rPr>
          <w:tab/>
        </w:r>
        <w:r>
          <w:rPr>
            <w:noProof/>
            <w:webHidden/>
          </w:rPr>
          <w:fldChar w:fldCharType="begin"/>
        </w:r>
        <w:r>
          <w:rPr>
            <w:noProof/>
            <w:webHidden/>
          </w:rPr>
          <w:instrText xml:space="preserve"> PAGEREF _Toc452384251 \h </w:instrText>
        </w:r>
        <w:r>
          <w:rPr>
            <w:noProof/>
            <w:webHidden/>
          </w:rPr>
        </w:r>
        <w:r>
          <w:rPr>
            <w:noProof/>
            <w:webHidden/>
          </w:rPr>
          <w:fldChar w:fldCharType="separate"/>
        </w:r>
        <w:r>
          <w:rPr>
            <w:noProof/>
            <w:webHidden/>
          </w:rPr>
          <w:t>7</w:t>
        </w:r>
        <w:r>
          <w:rPr>
            <w:noProof/>
            <w:webHidden/>
          </w:rPr>
          <w:fldChar w:fldCharType="end"/>
        </w:r>
      </w:hyperlink>
    </w:p>
    <w:p w:rsidR="003F2B7A" w:rsidRDefault="003F2B7A">
      <w:pPr>
        <w:pStyle w:val="TM2"/>
        <w:tabs>
          <w:tab w:val="right" w:leader="dot" w:pos="9060"/>
        </w:tabs>
        <w:rPr>
          <w:rFonts w:asciiTheme="minorHAnsi" w:eastAsiaTheme="minorEastAsia" w:hAnsiTheme="minorHAnsi"/>
          <w:noProof/>
          <w:lang w:eastAsia="fr-FR"/>
        </w:rPr>
      </w:pPr>
      <w:hyperlink w:anchor="_Toc452384252" w:history="1">
        <w:r w:rsidRPr="0008783F">
          <w:rPr>
            <w:rStyle w:val="Lienhypertexte"/>
            <w:noProof/>
          </w:rPr>
          <w:t>Chapitre 2416 – Focus sur d’autres mises en situation non récurrentes</w:t>
        </w:r>
        <w:r>
          <w:rPr>
            <w:noProof/>
            <w:webHidden/>
          </w:rPr>
          <w:tab/>
        </w:r>
        <w:r>
          <w:rPr>
            <w:noProof/>
            <w:webHidden/>
          </w:rPr>
          <w:fldChar w:fldCharType="begin"/>
        </w:r>
        <w:r>
          <w:rPr>
            <w:noProof/>
            <w:webHidden/>
          </w:rPr>
          <w:instrText xml:space="preserve"> PAGEREF _Toc452384252 \h </w:instrText>
        </w:r>
        <w:r>
          <w:rPr>
            <w:noProof/>
            <w:webHidden/>
          </w:rPr>
        </w:r>
        <w:r>
          <w:rPr>
            <w:noProof/>
            <w:webHidden/>
          </w:rPr>
          <w:fldChar w:fldCharType="separate"/>
        </w:r>
        <w:r>
          <w:rPr>
            <w:noProof/>
            <w:webHidden/>
          </w:rPr>
          <w:t>12</w:t>
        </w:r>
        <w:r>
          <w:rPr>
            <w:noProof/>
            <w:webHidden/>
          </w:rPr>
          <w:fldChar w:fldCharType="end"/>
        </w:r>
      </w:hyperlink>
    </w:p>
    <w:p w:rsidR="003F2B7A" w:rsidRDefault="003F2B7A">
      <w:pPr>
        <w:pStyle w:val="TM1"/>
        <w:rPr>
          <w:rFonts w:eastAsiaTheme="minorEastAsia"/>
          <w:b w:val="0"/>
          <w:color w:val="auto"/>
          <w:sz w:val="22"/>
          <w:lang w:eastAsia="fr-FR"/>
        </w:rPr>
      </w:pPr>
      <w:hyperlink w:anchor="_Toc452384253" w:history="1">
        <w:r w:rsidRPr="0008783F">
          <w:rPr>
            <w:rStyle w:val="Lienhypertexte"/>
          </w:rPr>
          <w:t>Section 200.</w:t>
        </w:r>
        <w:r>
          <w:rPr>
            <w:rFonts w:eastAsiaTheme="minorEastAsia"/>
            <w:b w:val="0"/>
            <w:color w:val="auto"/>
            <w:sz w:val="22"/>
            <w:lang w:eastAsia="fr-FR"/>
          </w:rPr>
          <w:tab/>
        </w:r>
        <w:r w:rsidRPr="0008783F">
          <w:rPr>
            <w:rStyle w:val="Lienhypertexte"/>
          </w:rPr>
          <w:t>Outils proposés</w:t>
        </w:r>
        <w:r>
          <w:rPr>
            <w:webHidden/>
          </w:rPr>
          <w:tab/>
        </w:r>
        <w:r>
          <w:rPr>
            <w:webHidden/>
          </w:rPr>
          <w:fldChar w:fldCharType="begin"/>
        </w:r>
        <w:r>
          <w:rPr>
            <w:webHidden/>
          </w:rPr>
          <w:instrText xml:space="preserve"> PAGEREF _Toc452384253 \h </w:instrText>
        </w:r>
        <w:r>
          <w:rPr>
            <w:webHidden/>
          </w:rPr>
        </w:r>
        <w:r>
          <w:rPr>
            <w:webHidden/>
          </w:rPr>
          <w:fldChar w:fldCharType="separate"/>
        </w:r>
        <w:r>
          <w:rPr>
            <w:webHidden/>
          </w:rPr>
          <w:t>13</w:t>
        </w:r>
        <w:r>
          <w:rPr>
            <w:webHidden/>
          </w:rPr>
          <w:fldChar w:fldCharType="end"/>
        </w:r>
      </w:hyperlink>
    </w:p>
    <w:p w:rsidR="003F2B7A" w:rsidRDefault="003F2B7A">
      <w:pPr>
        <w:pStyle w:val="TM1"/>
        <w:rPr>
          <w:rFonts w:eastAsiaTheme="minorEastAsia"/>
          <w:b w:val="0"/>
          <w:color w:val="auto"/>
          <w:sz w:val="22"/>
          <w:lang w:eastAsia="fr-FR"/>
        </w:rPr>
      </w:pPr>
      <w:hyperlink w:anchor="_Toc452384254" w:history="1">
        <w:r w:rsidRPr="0008783F">
          <w:rPr>
            <w:rStyle w:val="Lienhypertexte"/>
          </w:rPr>
          <w:t>Section 300.</w:t>
        </w:r>
        <w:r>
          <w:rPr>
            <w:rFonts w:eastAsiaTheme="minorEastAsia"/>
            <w:b w:val="0"/>
            <w:color w:val="auto"/>
            <w:sz w:val="22"/>
            <w:lang w:eastAsia="fr-FR"/>
          </w:rPr>
          <w:tab/>
        </w:r>
        <w:r w:rsidRPr="0008783F">
          <w:rPr>
            <w:rStyle w:val="Lienhypertexte"/>
          </w:rPr>
          <w:t>Textes légaux et reglementaires</w:t>
        </w:r>
        <w:r>
          <w:rPr>
            <w:webHidden/>
          </w:rPr>
          <w:tab/>
        </w:r>
        <w:r>
          <w:rPr>
            <w:webHidden/>
          </w:rPr>
          <w:fldChar w:fldCharType="begin"/>
        </w:r>
        <w:r>
          <w:rPr>
            <w:webHidden/>
          </w:rPr>
          <w:instrText xml:space="preserve"> PAGEREF _Toc452384254 \h </w:instrText>
        </w:r>
        <w:r>
          <w:rPr>
            <w:webHidden/>
          </w:rPr>
        </w:r>
        <w:r>
          <w:rPr>
            <w:webHidden/>
          </w:rPr>
          <w:fldChar w:fldCharType="separate"/>
        </w:r>
        <w:r>
          <w:rPr>
            <w:webHidden/>
          </w:rPr>
          <w:t>14</w:t>
        </w:r>
        <w:r>
          <w:rPr>
            <w:webHidden/>
          </w:rPr>
          <w:fldChar w:fldCharType="end"/>
        </w:r>
      </w:hyperlink>
    </w:p>
    <w:p w:rsidR="003F2B7A" w:rsidRDefault="003F2B7A">
      <w:pPr>
        <w:pStyle w:val="TM1"/>
        <w:rPr>
          <w:rFonts w:eastAsiaTheme="minorEastAsia"/>
          <w:b w:val="0"/>
          <w:color w:val="auto"/>
          <w:sz w:val="22"/>
          <w:lang w:eastAsia="fr-FR"/>
        </w:rPr>
      </w:pPr>
      <w:hyperlink w:anchor="_Toc452384255" w:history="1">
        <w:r w:rsidRPr="0008783F">
          <w:rPr>
            <w:rStyle w:val="Lienhypertexte"/>
          </w:rPr>
          <w:t>Section 400.</w:t>
        </w:r>
        <w:r>
          <w:rPr>
            <w:rFonts w:eastAsiaTheme="minorEastAsia"/>
            <w:b w:val="0"/>
            <w:color w:val="auto"/>
            <w:sz w:val="22"/>
            <w:lang w:eastAsia="fr-FR"/>
          </w:rPr>
          <w:tab/>
        </w:r>
        <w:r w:rsidRPr="0008783F">
          <w:rPr>
            <w:rStyle w:val="Lienhypertexte"/>
          </w:rPr>
          <w:t>Formulaires eDossier concernés</w:t>
        </w:r>
        <w:r>
          <w:rPr>
            <w:webHidden/>
          </w:rPr>
          <w:tab/>
        </w:r>
        <w:r>
          <w:rPr>
            <w:webHidden/>
          </w:rPr>
          <w:fldChar w:fldCharType="begin"/>
        </w:r>
        <w:r>
          <w:rPr>
            <w:webHidden/>
          </w:rPr>
          <w:instrText xml:space="preserve"> PAGEREF _Toc452384255 \h </w:instrText>
        </w:r>
        <w:r>
          <w:rPr>
            <w:webHidden/>
          </w:rPr>
        </w:r>
        <w:r>
          <w:rPr>
            <w:webHidden/>
          </w:rPr>
          <w:fldChar w:fldCharType="separate"/>
        </w:r>
        <w:r>
          <w:rPr>
            <w:webHidden/>
          </w:rPr>
          <w:t>15</w:t>
        </w:r>
        <w:r>
          <w:rPr>
            <w:webHidden/>
          </w:rPr>
          <w:fldChar w:fldCharType="end"/>
        </w:r>
      </w:hyperlink>
    </w:p>
    <w:p w:rsidR="003F2B7A" w:rsidRDefault="003F2B7A">
      <w:pPr>
        <w:pStyle w:val="TM1"/>
        <w:rPr>
          <w:rFonts w:eastAsiaTheme="minorEastAsia"/>
          <w:b w:val="0"/>
          <w:color w:val="auto"/>
          <w:sz w:val="22"/>
          <w:lang w:eastAsia="fr-FR"/>
        </w:rPr>
      </w:pPr>
      <w:hyperlink w:anchor="_Toc452384256" w:history="1">
        <w:r w:rsidRPr="0008783F">
          <w:rPr>
            <w:rStyle w:val="Lienhypertexte"/>
          </w:rPr>
          <w:t>Section 500.</w:t>
        </w:r>
        <w:r>
          <w:rPr>
            <w:rFonts w:eastAsiaTheme="minorEastAsia"/>
            <w:b w:val="0"/>
            <w:color w:val="auto"/>
            <w:sz w:val="22"/>
            <w:lang w:eastAsia="fr-FR"/>
          </w:rPr>
          <w:tab/>
        </w:r>
        <w:r w:rsidRPr="0008783F">
          <w:rPr>
            <w:rStyle w:val="Lienhypertexte"/>
          </w:rPr>
          <w:t>Ressources de l’Intranet</w:t>
        </w:r>
        <w:r>
          <w:rPr>
            <w:webHidden/>
          </w:rPr>
          <w:tab/>
        </w:r>
        <w:r>
          <w:rPr>
            <w:webHidden/>
          </w:rPr>
          <w:fldChar w:fldCharType="begin"/>
        </w:r>
        <w:r>
          <w:rPr>
            <w:webHidden/>
          </w:rPr>
          <w:instrText xml:space="preserve"> PAGEREF _Toc452384256 \h </w:instrText>
        </w:r>
        <w:r>
          <w:rPr>
            <w:webHidden/>
          </w:rPr>
        </w:r>
        <w:r>
          <w:rPr>
            <w:webHidden/>
          </w:rPr>
          <w:fldChar w:fldCharType="separate"/>
        </w:r>
        <w:r>
          <w:rPr>
            <w:webHidden/>
          </w:rPr>
          <w:t>15</w:t>
        </w:r>
        <w:r>
          <w:rPr>
            <w:webHidden/>
          </w:rPr>
          <w:fldChar w:fldCharType="end"/>
        </w:r>
      </w:hyperlink>
    </w:p>
    <w:p w:rsidR="003F2B7A" w:rsidRDefault="003F2B7A" w:rsidP="003F2B7A">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3F2B7A" w:rsidRDefault="003F2B7A" w:rsidP="003F2B7A">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br w:type="page"/>
      </w:r>
    </w:p>
    <w:p w:rsidR="003F2B7A" w:rsidRDefault="003F2B7A" w:rsidP="003F2B7A"/>
    <w:p w:rsidR="003F2B7A" w:rsidRDefault="003F2B7A" w:rsidP="003F2B7A">
      <w:pPr>
        <w:pStyle w:val="CACTitre1"/>
      </w:pPr>
      <w:bookmarkStart w:id="1" w:name="_Toc414274147"/>
      <w:bookmarkStart w:id="2" w:name="_Toc452384246"/>
      <w:r w:rsidRPr="00C02620">
        <w:t>Table</w:t>
      </w:r>
      <w:r>
        <w:t xml:space="preserve"> des matières</w:t>
      </w:r>
      <w:bookmarkEnd w:id="1"/>
      <w:bookmarkEnd w:id="2"/>
    </w:p>
    <w:p w:rsidR="003F2B7A" w:rsidRDefault="003F2B7A" w:rsidP="003F2B7A">
      <w:pPr>
        <w:pStyle w:val="CACCorps"/>
      </w:pPr>
    </w:p>
    <w:p w:rsidR="003F2B7A" w:rsidRDefault="003F2B7A" w:rsidP="003F2B7A">
      <w:pPr>
        <w:pStyle w:val="CACTitre2"/>
        <w:numPr>
          <w:ilvl w:val="0"/>
          <w:numId w:val="0"/>
        </w:numPr>
        <w:ind w:left="792"/>
      </w:pPr>
      <w:bookmarkStart w:id="3" w:name="_Toc452384247"/>
      <w:r>
        <w:t>Chapitre 2411 – Introduction au marché réglementé actions</w:t>
      </w:r>
      <w:bookmarkEnd w:id="3"/>
    </w:p>
    <w:p w:rsidR="003F2B7A" w:rsidRDefault="003F2B7A" w:rsidP="003F2B7A">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3F2B7A" w:rsidRPr="0059727F" w:rsidTr="00B43255">
        <w:trPr>
          <w:cantSplit/>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Page</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Source des textes</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Représentation schématique du processus de transposition des directives européennes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Le règlement général et la doctrine de l’autorité des marchés financiers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Les marchés financiers</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Le mode d’organisation des marchés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Le marché réglementé euronext Paris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Les marchés non réglementés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webHidden/>
                <w:color w:val="000000"/>
                <w:lang w:eastAsia="fr-FR"/>
              </w:rPr>
            </w:pPr>
            <w:r>
              <w:rPr>
                <w:rFonts w:eastAsia="Times New Roman" w:cs="Calibri"/>
                <w:b/>
                <w:bCs/>
                <w:webHidden/>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Le marché Alternext</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webHidden/>
                <w:color w:val="000000"/>
                <w:lang w:eastAsia="fr-FR"/>
              </w:rPr>
            </w:pPr>
            <w:r>
              <w:rPr>
                <w:rFonts w:eastAsia="Times New Roman" w:cs="Calibri"/>
                <w:b/>
                <w:bCs/>
                <w:webHidden/>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Le marché libre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webHidden/>
                <w:color w:val="000000"/>
                <w:lang w:eastAsia="fr-FR"/>
              </w:rPr>
            </w:pPr>
            <w:r>
              <w:rPr>
                <w:rFonts w:eastAsia="Times New Roman" w:cs="Calibri"/>
                <w:b/>
                <w:bCs/>
                <w:webHidden/>
                <w:color w:val="000000"/>
                <w:lang w:eastAsia="fr-FR"/>
              </w:rPr>
              <w:t>7</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Les organes de surveillance des marchés</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L’autorité des marchés financiers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La surveillance au niveau européen : l’european securities and markets authority (« ESMA »)</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La surveillance au niveau international : l’international organization of securities commission (« IOSCO »)</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L’autorité de contrôle prudentiel</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9</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500.</w:t>
            </w:r>
          </w:p>
        </w:tc>
        <w:tc>
          <w:tcPr>
            <w:tcW w:w="7200" w:type="dxa"/>
            <w:tcBorders>
              <w:top w:val="nil"/>
              <w:left w:val="nil"/>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L’organisation de la profession</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Le Haut Conseil du Commissariat aux comptes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10</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Le département des marchés financiers de la CNCC</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10</w:t>
            </w:r>
          </w:p>
        </w:tc>
      </w:tr>
    </w:tbl>
    <w:p w:rsidR="003F2B7A" w:rsidRDefault="003F2B7A" w:rsidP="003F2B7A">
      <w:pPr>
        <w:pStyle w:val="CACCorps"/>
      </w:pPr>
    </w:p>
    <w:p w:rsidR="003F2B7A" w:rsidRDefault="003F2B7A" w:rsidP="003F2B7A">
      <w:pPr>
        <w:pStyle w:val="CACCorps"/>
      </w:pPr>
    </w:p>
    <w:p w:rsidR="003F2B7A" w:rsidRDefault="003F2B7A" w:rsidP="003F2B7A">
      <w:pPr>
        <w:pStyle w:val="CACTitre2"/>
        <w:numPr>
          <w:ilvl w:val="0"/>
          <w:numId w:val="0"/>
        </w:numPr>
        <w:ind w:left="792"/>
      </w:pPr>
      <w:bookmarkStart w:id="4" w:name="_Toc452384248"/>
      <w:r>
        <w:t>Chapitre 2412 – Acceptation de la mission / nomination / renouvellement / cessation des fonctions</w:t>
      </w:r>
      <w:bookmarkEnd w:id="4"/>
    </w:p>
    <w:p w:rsidR="003F2B7A" w:rsidRDefault="003F2B7A" w:rsidP="003F2B7A">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3F2B7A" w:rsidRPr="0059727F" w:rsidTr="00B43255">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Page</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Phase d’acceptation de la mission / nomination / renouvellement</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Information de l’AMF en cas de nomination ou de renouvellement</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lastRenderedPageBreak/>
              <w:t>2.</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Lutte contre le blanchiment de capitaux et le financement du terrorisme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Lettre de mission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webHidden/>
                <w:color w:val="000000"/>
                <w:lang w:eastAsia="fr-FR"/>
              </w:rPr>
            </w:pPr>
            <w:r>
              <w:rPr>
                <w:rFonts w:eastAsia="Times New Roman" w:cs="Calibri"/>
                <w:b/>
                <w:bCs/>
                <w:webHidden/>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Rotation des associés signataires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webHidden/>
                <w:color w:val="000000"/>
                <w:lang w:eastAsia="fr-FR"/>
              </w:rPr>
            </w:pPr>
            <w:r>
              <w:rPr>
                <w:rFonts w:eastAsia="Times New Roman" w:cs="Calibri"/>
                <w:b/>
                <w:bCs/>
                <w:webHidden/>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Cessation des fonctions</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Procédure de récusation du commissaire aux comptes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Demande de relèvement du commissaire aux comptes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nil"/>
              <w:right w:val="single" w:sz="4" w:space="0" w:color="auto"/>
            </w:tcBorders>
            <w:shd w:val="clear" w:color="000000" w:fill="8DB4E2"/>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w:t>
            </w:r>
          </w:p>
        </w:tc>
        <w:tc>
          <w:tcPr>
            <w:tcW w:w="7200" w:type="dxa"/>
            <w:tcBorders>
              <w:top w:val="nil"/>
              <w:left w:val="nil"/>
              <w:bottom w:val="nil"/>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Information de l’AMF de la démission du commissaire aux comptes</w:t>
            </w:r>
          </w:p>
        </w:tc>
        <w:tc>
          <w:tcPr>
            <w:tcW w:w="1200" w:type="dxa"/>
            <w:tcBorders>
              <w:top w:val="nil"/>
              <w:left w:val="nil"/>
              <w:bottom w:val="nil"/>
              <w:right w:val="single" w:sz="4" w:space="0" w:color="auto"/>
            </w:tcBorders>
            <w:shd w:val="clear" w:color="000000" w:fill="8DB4E2"/>
            <w:vAlign w:val="center"/>
          </w:tcPr>
          <w:p w:rsidR="003F2B7A" w:rsidRPr="0059727F" w:rsidRDefault="003F2B7A" w:rsidP="00B43255">
            <w:pPr>
              <w:jc w:val="center"/>
              <w:rPr>
                <w:rFonts w:eastAsia="Times New Roman" w:cs="Calibri"/>
                <w:b/>
                <w:bCs/>
                <w:webHidden/>
                <w:color w:val="000000"/>
                <w:lang w:eastAsia="fr-FR"/>
              </w:rPr>
            </w:pPr>
            <w:r>
              <w:rPr>
                <w:rFonts w:eastAsia="Times New Roman" w:cs="Calibri"/>
                <w:b/>
                <w:bCs/>
                <w:webHidden/>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10</w:t>
            </w:r>
          </w:p>
        </w:tc>
      </w:tr>
    </w:tbl>
    <w:p w:rsidR="003F2B7A" w:rsidRDefault="003F2B7A" w:rsidP="003F2B7A">
      <w:pPr>
        <w:pStyle w:val="CACCorps"/>
      </w:pPr>
    </w:p>
    <w:p w:rsidR="003F2B7A" w:rsidRDefault="003F2B7A" w:rsidP="003F2B7A">
      <w:pPr>
        <w:pStyle w:val="CACTitre2"/>
        <w:numPr>
          <w:ilvl w:val="0"/>
          <w:numId w:val="0"/>
        </w:numPr>
        <w:ind w:left="792"/>
      </w:pPr>
      <w:bookmarkStart w:id="5" w:name="_Toc452384249"/>
      <w:r>
        <w:t>Chapitre 2413 – Obligations permanentes du commissaire aux comptes</w:t>
      </w:r>
      <w:bookmarkEnd w:id="5"/>
    </w:p>
    <w:p w:rsidR="003F2B7A" w:rsidRDefault="003F2B7A" w:rsidP="003F2B7A">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3F2B7A" w:rsidRPr="0059727F" w:rsidTr="00B43255">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Page</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Relations avec les autorités de surveillance ou de contrôle</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Relations avec le H3C – Contrôle qualité triennal, accord d’échange d’informations et de coopération H3C/AMF, accord H3C/ACP</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lastRenderedPageBreak/>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Relations avec le H3C – Cotisation additionnelle de 0,68 % des honoraires des mandats EIP</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Relations avec l’AMF</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124CB0">
              <w:rPr>
                <w:rFonts w:eastAsia="Times New Roman" w:cs="Calibri"/>
                <w:b/>
                <w:bCs/>
                <w:color w:val="000000"/>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124CB0">
              <w:rPr>
                <w:rFonts w:eastAsia="Times New Roman" w:cs="Calibri"/>
                <w:b/>
                <w:bCs/>
                <w:color w:val="000000"/>
                <w:lang w:eastAsia="fr-FR"/>
              </w:rPr>
              <w:t>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Relations avec l’entité</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Indépendance et relations avec le comité spécialisé (comité d’audit)</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6C3695">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6C3695">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6C3695">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6C3695">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Relations avec les organes visés à l’article L. 823-16 du Code de commerce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BB20F6">
              <w:rPr>
                <w:rFonts w:eastAsia="Times New Roman" w:cs="Calibri"/>
                <w:b/>
                <w:bCs/>
                <w:color w:val="000000"/>
                <w:lang w:eastAsia="fr-FR"/>
              </w:rP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BB20F6">
              <w:rPr>
                <w:rFonts w:eastAsia="Times New Roman" w:cs="Calibri"/>
                <w:b/>
                <w:bCs/>
                <w:color w:val="000000"/>
                <w:lang w:eastAsia="fr-FR"/>
              </w:rP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BB20F6">
              <w:rPr>
                <w:rFonts w:eastAsia="Times New Roman" w:cs="Calibri"/>
                <w:b/>
                <w:bCs/>
                <w:color w:val="000000"/>
                <w:lang w:eastAsia="fr-FR"/>
              </w:rP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Relations avec les actionnaires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webHidden/>
                <w:color w:val="000000"/>
                <w:lang w:eastAsia="fr-FR"/>
              </w:rPr>
            </w:pPr>
            <w:r>
              <w:rPr>
                <w:rFonts w:eastAsia="Times New Roman" w:cs="Calibri"/>
                <w:b/>
                <w:bCs/>
                <w:webHidden/>
                <w:color w:val="000000"/>
                <w:lang w:eastAsia="fr-FR"/>
              </w:rPr>
              <w:t>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Autres points de vigilance</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Date de mise à disposition et de publication des rapports des commissaires aux comptes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Alerte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4B1B41">
              <w:rPr>
                <w:rFonts w:eastAsia="Times New Roman" w:cs="Calibri"/>
                <w:b/>
                <w:bCs/>
                <w:color w:val="000000"/>
                <w:lang w:eastAsia="fr-FR"/>
              </w:rPr>
              <w:t>14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lastRenderedPageBreak/>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4B1B41">
              <w:rPr>
                <w:rFonts w:eastAsia="Times New Roman" w:cs="Calibri"/>
                <w:b/>
                <w:bCs/>
                <w:color w:val="000000"/>
                <w:lang w:eastAsia="fr-FR"/>
              </w:rPr>
              <w:t>14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Délits propres à la mission du commissaire aux comptes auprès d’une société dont les actions sont admises aux négociations sur les marchés réglementés – Fausse information, opérations d’initiés et manipulation de cours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Sanctions applicables aux infractions développées ci-dessus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3.5.</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Liste d’initiés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Marché réglementé : compartiment d’euronext destiné aux admissions sans offre préalable au public</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6.</w:t>
            </w:r>
          </w:p>
        </w:tc>
        <w:tc>
          <w:tcPr>
            <w:tcW w:w="7200" w:type="dxa"/>
            <w:tcBorders>
              <w:top w:val="nil"/>
              <w:left w:val="nil"/>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Diffusion de l’information réglementée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25</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Rapport de transparence</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25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C1C1C1" w:themeFill="text2" w:themeFillTint="66"/>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auto" w:fill="C1C1C1" w:themeFill="text2" w:themeFillTint="66"/>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C1C1C1" w:themeFill="text2" w:themeFillTint="66"/>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C1C1C1" w:themeFill="text2" w:themeFillTint="66"/>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auto" w:fill="C1C1C1" w:themeFill="text2" w:themeFillTint="66"/>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C1C1C1" w:themeFill="text2" w:themeFillTint="66"/>
          </w:tcPr>
          <w:p w:rsidR="003F2B7A" w:rsidRDefault="003F2B7A" w:rsidP="00B43255">
            <w:pPr>
              <w:jc w:val="center"/>
            </w:pPr>
            <w:r w:rsidRPr="00A53144">
              <w:rPr>
                <w:rFonts w:eastAsia="Times New Roman" w:cs="Calibri"/>
                <w:b/>
                <w:bCs/>
                <w:color w:val="000000"/>
                <w:lang w:eastAsia="fr-FR"/>
              </w:rPr>
              <w:t>25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C1C1C1" w:themeFill="text2" w:themeFillTint="66"/>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auto" w:fill="C1C1C1" w:themeFill="text2" w:themeFillTint="66"/>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C1C1C1" w:themeFill="text2" w:themeFillTint="66"/>
          </w:tcPr>
          <w:p w:rsidR="003F2B7A" w:rsidRDefault="003F2B7A" w:rsidP="00B43255">
            <w:pPr>
              <w:jc w:val="center"/>
            </w:pPr>
            <w:r w:rsidRPr="00A53144">
              <w:rPr>
                <w:rFonts w:eastAsia="Times New Roman" w:cs="Calibri"/>
                <w:b/>
                <w:bCs/>
                <w:color w:val="000000"/>
                <w:lang w:eastAsia="fr-FR"/>
              </w:rPr>
              <w:t>25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C1C1C1" w:themeFill="text2" w:themeFillTint="66"/>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auto" w:fill="C1C1C1" w:themeFill="text2" w:themeFillTint="66"/>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C1C1C1" w:themeFill="text2" w:themeFillTint="66"/>
          </w:tcPr>
          <w:p w:rsidR="003F2B7A" w:rsidRDefault="003F2B7A" w:rsidP="00B43255">
            <w:pPr>
              <w:jc w:val="center"/>
            </w:pPr>
            <w:r w:rsidRPr="00A53144">
              <w:rPr>
                <w:rFonts w:eastAsia="Times New Roman" w:cs="Calibri"/>
                <w:b/>
                <w:bCs/>
                <w:color w:val="000000"/>
                <w:lang w:eastAsia="fr-FR"/>
              </w:rPr>
              <w:t>25</w:t>
            </w:r>
          </w:p>
        </w:tc>
      </w:tr>
    </w:tbl>
    <w:p w:rsidR="003F2B7A" w:rsidRDefault="003F2B7A" w:rsidP="003F2B7A">
      <w:pPr>
        <w:pStyle w:val="CACCorps"/>
      </w:pPr>
    </w:p>
    <w:p w:rsidR="003F2B7A" w:rsidRDefault="003F2B7A">
      <w:pPr>
        <w:jc w:val="left"/>
      </w:pPr>
      <w:r>
        <w:br w:type="page"/>
      </w:r>
    </w:p>
    <w:p w:rsidR="003F2B7A" w:rsidRDefault="003F2B7A" w:rsidP="003F2B7A">
      <w:pPr>
        <w:pStyle w:val="CACCorps"/>
      </w:pPr>
    </w:p>
    <w:p w:rsidR="003F2B7A" w:rsidRDefault="003F2B7A" w:rsidP="003F2B7A">
      <w:pPr>
        <w:pStyle w:val="CACTitre2"/>
        <w:numPr>
          <w:ilvl w:val="0"/>
          <w:numId w:val="0"/>
        </w:numPr>
        <w:ind w:left="792"/>
      </w:pPr>
      <w:bookmarkStart w:id="6" w:name="_Toc452384250"/>
      <w:r>
        <w:t>Chapitre 2414 – Interventions périodiques du commissaire aux comptes</w:t>
      </w:r>
      <w:bookmarkEnd w:id="6"/>
    </w:p>
    <w:p w:rsidR="003F2B7A" w:rsidRDefault="003F2B7A" w:rsidP="003F2B7A">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3F2B7A" w:rsidRPr="0059727F" w:rsidTr="00B43255">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3F2B7A" w:rsidRPr="0059727F" w:rsidRDefault="003F2B7A" w:rsidP="00B43255">
            <w:pPr>
              <w:jc w:val="center"/>
              <w:rPr>
                <w:rFonts w:eastAsia="Times New Roman" w:cs="Calibri"/>
                <w:b/>
                <w:bCs/>
                <w:color w:val="000000"/>
                <w:lang w:eastAsia="fr-FR"/>
              </w:rPr>
            </w:pPr>
            <w:r w:rsidRPr="0059727F">
              <w:rPr>
                <w:rFonts w:eastAsia="Times New Roman" w:cs="Calibri"/>
                <w:b/>
                <w:bCs/>
                <w:color w:val="000000"/>
                <w:lang w:eastAsia="fr-FR"/>
              </w:rPr>
              <w:t>Page</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Interventions relatives à l’information financière annuelle</w:t>
            </w:r>
          </w:p>
        </w:tc>
        <w:tc>
          <w:tcPr>
            <w:tcW w:w="1200" w:type="dxa"/>
            <w:tcBorders>
              <w:top w:val="nil"/>
              <w:left w:val="nil"/>
              <w:bottom w:val="single" w:sz="4" w:space="0" w:color="auto"/>
              <w:right w:val="single" w:sz="4" w:space="0" w:color="auto"/>
            </w:tcBorders>
            <w:shd w:val="clear" w:color="000000" w:fill="002060"/>
            <w:vAlign w:val="center"/>
            <w:hideMark/>
          </w:tcPr>
          <w:p w:rsidR="003F2B7A" w:rsidRPr="0059727F" w:rsidRDefault="003F2B7A" w:rsidP="00B43255">
            <w:pPr>
              <w:jc w:val="center"/>
              <w:rPr>
                <w:rFonts w:eastAsia="Times New Roman" w:cs="Calibri"/>
                <w:b/>
                <w:bCs/>
                <w:color w:val="FFFFFF"/>
                <w:lang w:eastAsia="fr-FR"/>
              </w:rPr>
            </w:pPr>
            <w:r>
              <w:rPr>
                <w:rFonts w:eastAsia="Times New Roman" w:cs="Calibri"/>
                <w:b/>
                <w:bCs/>
                <w:webHidden/>
                <w:color w:val="FFFFFF"/>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Information annuelle ayant un impact sur la mission du commissaire aux comptes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Comptes annuels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Comptes consolidés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Rapport financier annuel</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Document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1.5.</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Rapport de gestion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1.6.</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Rapport de gestion – rémunérations des dirigeants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1.7.</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Rapport de gestion – information en matière sociale et environnementale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1.8.</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Engagements réglementés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1.9.</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Publication des honoraires des commissaires aux comptes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1.10.</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Rapport du président du conseil d’administration / de surveillance sur le contrôle interne, la gestion des risques et le gouvernement d’entreprise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Information annuelle sans impact sur la mission du commissaire aux comptes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Information relative au nombre total de droits de vote et au nombre d’actions composant le capital social</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25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des programmes de rachat d’actions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26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Communiqué précisant les modalités de mise à disposition ou de consultation des informations mentionnées à l’article R.225-83 du Code de commerce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27</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Intervention relative à l’information financière semestrielle publiée</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29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3F2B7A" w:rsidRPr="0059727F" w:rsidRDefault="003F2B7A" w:rsidP="00B43255">
            <w:pPr>
              <w:jc w:val="left"/>
              <w:rPr>
                <w:rFonts w:eastAsia="Times New Roman" w:cs="Calibri"/>
                <w:b/>
                <w:bCs/>
                <w:color w:val="000000"/>
                <w:lang w:eastAsia="fr-FR"/>
              </w:rPr>
            </w:pPr>
            <w:r w:rsidRPr="0059727F">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Rapport financier semestriel</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Pr>
                <w:rFonts w:eastAsia="Times New Roman" w:cs="Calibri"/>
                <w:b/>
                <w:bCs/>
                <w:color w:val="000000"/>
                <w:lang w:eastAsia="fr-FR"/>
              </w:rPr>
              <w:t>2</w:t>
            </w:r>
            <w:r w:rsidRPr="006C3695">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Pr>
                <w:rFonts w:eastAsia="Times New Roman" w:cs="Calibri"/>
                <w:b/>
                <w:bCs/>
                <w:color w:val="000000"/>
                <w:lang w:eastAsia="fr-FR"/>
              </w:rPr>
              <w:t>2</w:t>
            </w:r>
            <w:r w:rsidRPr="006C3695">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Pr>
                <w:rFonts w:eastAsia="Times New Roman" w:cs="Calibri"/>
                <w:b/>
                <w:bCs/>
                <w:color w:val="000000"/>
                <w:lang w:eastAsia="fr-FR"/>
              </w:rPr>
              <w:t>2</w:t>
            </w:r>
            <w:r w:rsidRPr="006C3695">
              <w:rPr>
                <w:rFonts w:eastAsia="Times New Roman" w:cs="Calibri"/>
                <w:b/>
                <w:bCs/>
                <w:color w:val="000000"/>
                <w:lang w:eastAsia="fr-FR"/>
              </w:rPr>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Pr>
                <w:rFonts w:eastAsia="Times New Roman" w:cs="Calibri"/>
                <w:b/>
                <w:bCs/>
                <w:color w:val="000000"/>
                <w:lang w:eastAsia="fr-FR"/>
              </w:rPr>
              <w:t>2</w:t>
            </w:r>
            <w:r w:rsidRPr="006C3695">
              <w:rPr>
                <w:rFonts w:eastAsia="Times New Roman" w:cs="Calibri"/>
                <w:b/>
                <w:bCs/>
                <w:color w:val="000000"/>
                <w:lang w:eastAsia="fr-FR"/>
              </w:rPr>
              <w:t>9</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Intervention relative à l’information financière trimestrielle publiée</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30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Information financière trimestrielle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Pr>
                <w:rFonts w:eastAsia="Times New Roman" w:cs="Calibri"/>
                <w:b/>
                <w:bCs/>
                <w:color w:val="000000"/>
                <w:lang w:eastAsia="fr-FR"/>
              </w:rPr>
              <w:t>30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Pr>
                <w:rFonts w:eastAsia="Times New Roman" w:cs="Calibri"/>
                <w:b/>
                <w:bCs/>
                <w:color w:val="000000"/>
                <w:lang w:eastAsia="fr-FR"/>
              </w:rPr>
              <w:t>30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Pr>
                <w:rFonts w:eastAsia="Times New Roman" w:cs="Calibri"/>
                <w:b/>
                <w:bCs/>
                <w:color w:val="000000"/>
                <w:lang w:eastAsia="fr-FR"/>
              </w:rPr>
              <w:t>30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Pr>
                <w:rFonts w:eastAsia="Times New Roman" w:cs="Calibri"/>
                <w:b/>
                <w:bCs/>
                <w:color w:val="000000"/>
                <w:lang w:eastAsia="fr-FR"/>
              </w:rPr>
              <w:t>30</w:t>
            </w:r>
          </w:p>
        </w:tc>
      </w:tr>
      <w:tr w:rsidR="003F2B7A" w:rsidRPr="0059727F"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59727F" w:rsidRDefault="003F2B7A" w:rsidP="00B43255">
            <w:pPr>
              <w:jc w:val="left"/>
              <w:rPr>
                <w:rFonts w:eastAsia="Times New Roman" w:cs="Calibri"/>
                <w:b/>
                <w:bCs/>
                <w:color w:val="FFFFFF"/>
                <w:lang w:eastAsia="fr-FR"/>
              </w:rPr>
            </w:pPr>
            <w:r w:rsidRPr="0059727F">
              <w:rPr>
                <w:rFonts w:eastAsia="Times New Roman" w:cs="Calibri"/>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left"/>
              <w:rPr>
                <w:rFonts w:eastAsia="Times New Roman" w:cs="Calibri"/>
                <w:b/>
                <w:bCs/>
                <w:color w:val="FFFFFF"/>
                <w:lang w:eastAsia="fr-FR"/>
              </w:rPr>
            </w:pPr>
            <w:r>
              <w:rPr>
                <w:rFonts w:eastAsia="Times New Roman" w:cs="Calibri"/>
                <w:b/>
                <w:bCs/>
                <w:color w:val="FFFFFF"/>
                <w:lang w:eastAsia="fr-FR"/>
              </w:rPr>
              <w:t>Communiqués de la société émettrice</w:t>
            </w:r>
          </w:p>
        </w:tc>
        <w:tc>
          <w:tcPr>
            <w:tcW w:w="1200" w:type="dxa"/>
            <w:tcBorders>
              <w:top w:val="nil"/>
              <w:left w:val="nil"/>
              <w:bottom w:val="single" w:sz="4" w:space="0" w:color="auto"/>
              <w:right w:val="single" w:sz="4" w:space="0" w:color="auto"/>
            </w:tcBorders>
            <w:shd w:val="clear" w:color="000000" w:fill="002060"/>
            <w:vAlign w:val="center"/>
          </w:tcPr>
          <w:p w:rsidR="003F2B7A" w:rsidRPr="0059727F" w:rsidRDefault="003F2B7A" w:rsidP="00B43255">
            <w:pPr>
              <w:jc w:val="center"/>
              <w:rPr>
                <w:rFonts w:eastAsia="Times New Roman" w:cs="Calibri"/>
                <w:b/>
                <w:bCs/>
                <w:color w:val="FFFFFF"/>
                <w:lang w:eastAsia="fr-FR"/>
              </w:rPr>
            </w:pPr>
            <w:r>
              <w:rPr>
                <w:rFonts w:eastAsia="Times New Roman" w:cs="Calibri"/>
                <w:b/>
                <w:bCs/>
                <w:color w:val="FFFFFF"/>
                <w:lang w:eastAsia="fr-FR"/>
              </w:rPr>
              <w:t>31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lastRenderedPageBreak/>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Communiqué sur les résultats annuels, semestriels, trimestriels et l’information trimestrielle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Information financière diffusée par les entreprises en difficultés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E41E61">
              <w:t>32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Indicateurs financiers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E41E61">
              <w:t>32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Franchissements de seuils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2.5.</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Déclarations relatives aux transactions sur les titres d’une société par ses dirigeants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210BB5">
              <w:rPr>
                <w:rFonts w:eastAsia="Times New Roman" w:cs="Calibri"/>
                <w:b/>
                <w:bCs/>
                <w:color w:val="000000"/>
                <w:lang w:eastAsia="fr-FR"/>
              </w:rPr>
              <w:t>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2.6.</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Honoraires des commissaires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210BB5">
              <w:rPr>
                <w:rFonts w:eastAsia="Times New Roman" w:cs="Calibri"/>
                <w:b/>
                <w:bCs/>
                <w:color w:val="000000"/>
                <w:lang w:eastAsia="fr-FR"/>
              </w:rPr>
              <w:t>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2.7.</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Modalités de mise à disposition ou de consultation des informations mentionnées à l’article R.225-83 du Code de commerce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210BB5">
              <w:rPr>
                <w:rFonts w:eastAsia="Times New Roman" w:cs="Calibri"/>
                <w:b/>
                <w:bCs/>
                <w:color w:val="000000"/>
                <w:lang w:eastAsia="fr-FR"/>
              </w:rPr>
              <w:t>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33</w:t>
            </w:r>
          </w:p>
        </w:tc>
      </w:tr>
    </w:tbl>
    <w:p w:rsidR="003F2B7A" w:rsidRDefault="003F2B7A" w:rsidP="003F2B7A">
      <w:pPr>
        <w:pStyle w:val="CACCorps"/>
      </w:pPr>
    </w:p>
    <w:p w:rsidR="003F2B7A" w:rsidRDefault="003F2B7A" w:rsidP="003F2B7A">
      <w:pPr>
        <w:pStyle w:val="CACTitre2"/>
        <w:numPr>
          <w:ilvl w:val="0"/>
          <w:numId w:val="0"/>
        </w:numPr>
        <w:ind w:left="792"/>
      </w:pPr>
      <w:bookmarkStart w:id="7" w:name="_Toc452384251"/>
      <w:r>
        <w:t>Chapitre 2415 – Opérations de marché</w:t>
      </w:r>
      <w:bookmarkEnd w:id="7"/>
    </w:p>
    <w:p w:rsidR="003F2B7A" w:rsidRDefault="003F2B7A" w:rsidP="003F2B7A">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3F2B7A" w:rsidRPr="00821C4B" w:rsidTr="00B43255">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F2B7A" w:rsidRPr="00821C4B" w:rsidRDefault="003F2B7A" w:rsidP="00B43255">
            <w:pPr>
              <w:jc w:val="center"/>
              <w:rPr>
                <w:rFonts w:eastAsia="Times New Roman" w:cs="Calibri"/>
                <w:b/>
                <w:bCs/>
                <w:color w:val="000000"/>
                <w:lang w:eastAsia="fr-FR"/>
              </w:rPr>
            </w:pPr>
            <w:r w:rsidRPr="00821C4B">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3F2B7A" w:rsidRPr="00821C4B" w:rsidRDefault="003F2B7A" w:rsidP="00B43255">
            <w:pPr>
              <w:jc w:val="center"/>
              <w:rPr>
                <w:rFonts w:eastAsia="Times New Roman" w:cs="Calibri"/>
                <w:b/>
                <w:bCs/>
                <w:color w:val="000000"/>
                <w:lang w:eastAsia="fr-FR"/>
              </w:rPr>
            </w:pPr>
            <w:r w:rsidRPr="00821C4B">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3F2B7A" w:rsidRPr="00821C4B" w:rsidRDefault="003F2B7A" w:rsidP="00B43255">
            <w:pPr>
              <w:jc w:val="center"/>
              <w:rPr>
                <w:rFonts w:eastAsia="Times New Roman" w:cs="Calibri"/>
                <w:b/>
                <w:bCs/>
                <w:color w:val="000000"/>
                <w:lang w:eastAsia="fr-FR"/>
              </w:rPr>
            </w:pPr>
            <w:r w:rsidRPr="00821C4B">
              <w:rPr>
                <w:rFonts w:eastAsia="Times New Roman" w:cs="Calibri"/>
                <w:b/>
                <w:bCs/>
                <w:color w:val="000000"/>
                <w:lang w:eastAsia="fr-FR"/>
              </w:rPr>
              <w:t>Page</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821C4B" w:rsidRDefault="003F2B7A" w:rsidP="00B43255">
            <w:pPr>
              <w:jc w:val="left"/>
              <w:rPr>
                <w:rFonts w:eastAsia="Times New Roman" w:cs="Calibri"/>
                <w:b/>
                <w:bCs/>
                <w:color w:val="FFFFFF"/>
                <w:lang w:eastAsia="fr-FR"/>
              </w:rPr>
            </w:pPr>
            <w:r w:rsidRPr="00821C4B">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left"/>
              <w:rPr>
                <w:rFonts w:eastAsia="Times New Roman" w:cs="Calibri"/>
                <w:b/>
                <w:bCs/>
                <w:color w:val="FFFFFF"/>
                <w:lang w:eastAsia="fr-FR"/>
              </w:rPr>
            </w:pPr>
            <w:r>
              <w:rPr>
                <w:rFonts w:eastAsia="Times New Roman" w:cs="Calibri"/>
                <w:b/>
                <w:bCs/>
                <w:color w:val="FFFFFF"/>
                <w:lang w:eastAsia="fr-FR"/>
              </w:rPr>
              <w:t>Cadre général régissant l’établissement d’un prospectus et son contrôle</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Champ d’application de ce chapitre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Opérations visées par ce chapitre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Opérations non couvertes par ce chapitre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Cas particuliers : documents établis dans le cadre d’opérations de fusion, de scission, d’apport partiel d’actifs ou d’une offre publique d’acquisition (OPA, OPAS, OPE, OPR, …)</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Etablissement d’un prospectus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Cas d’établissement d’un prospectus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Définitions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Opérations ne nécessitant pas l’établissement d’un prospectus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Structure du prospectus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2.5.</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Informations contenues dans le prospectus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21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Rôle de l’autorité compétente (AMF)</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Autorité compétente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24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Dépôt, enregistrement et visa</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24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Synthèse des travaux et rapports du commissaire aux comptes par nature d’informations présentées dans un prospectus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Schéma récapitulatif</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26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Lettre de fin de travaux du commissaire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26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Autres rapports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27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27</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Pr="00821C4B" w:rsidRDefault="003F2B7A" w:rsidP="00B43255">
            <w:pPr>
              <w:jc w:val="left"/>
              <w:rPr>
                <w:rFonts w:eastAsia="Times New Roman" w:cs="Calibri"/>
                <w:b/>
                <w:bCs/>
                <w:color w:val="FFFFFF"/>
                <w:lang w:eastAsia="fr-FR"/>
              </w:rPr>
            </w:pPr>
            <w:r>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tcPr>
          <w:p w:rsidR="003F2B7A" w:rsidRPr="00F23663" w:rsidRDefault="003F2B7A" w:rsidP="00B43255">
            <w:pPr>
              <w:jc w:val="left"/>
              <w:rPr>
                <w:rFonts w:eastAsia="Times New Roman" w:cs="Calibri"/>
                <w:b/>
                <w:bCs/>
                <w:color w:val="FFFFFF"/>
                <w:lang w:eastAsia="fr-FR"/>
              </w:rPr>
            </w:pPr>
            <w:r>
              <w:rPr>
                <w:rFonts w:eastAsia="Times New Roman" w:cs="Calibri"/>
                <w:b/>
                <w:bCs/>
                <w:color w:val="FFFFFF"/>
                <w:lang w:eastAsia="fr-FR"/>
              </w:rPr>
              <w:t>Lettre de mission</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27</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Informations financières historiques</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28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lastRenderedPageBreak/>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Rappel des dispositions du règlement prospectus et des recommandations de l’ESMA</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29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Nombre d’exercices et date des informations financières historiques à présenter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Référentiel à appliquer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Contenu</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Nature des informations historiques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Les informations financières historiques présentées dans le prospectus correspondent à celles qui ont été précédemment publiées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Objectifs de l’intervention du commissaire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L’émetteur incorpore par référence des informations historiques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L’émetteur ne peut pas ou ne souhaite pas incorporer par référence des informations financières historiques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Introduction en bourse sur la base des comptes annuels – tableau de financement</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Tout ou partie des informations financières historiques présentées dans le prospectus sont différentes des informations financières historiques publiées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Introduction en bourse – application d’un nouveau référentiel</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Changement de méthode comptable ou correction d’erreur donnant lieu à retraitement de l’information comparative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Emetteur disposant de comptes certifiés pour les exercices présentés dans le prospectus mais faisant le choix de présenter un jeu de comptes unique établi selon le même référentiel pour plusieurs exercices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39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Emetteur n’ayant jamais établi de comptes consolidés présentant un jeu de comptes consolidés unique pour plusieurs exercices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Exposé de la situation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46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Responsabilité de l’établissement du jeu de comptes unique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46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Diligences du commissaire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47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Date des informations financières historiques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Etats financiers intermédiaires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47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Historiques financiers complexes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48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6.</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Informations de nature financière non assimilables à des informations financières historiques (au sens du présent chapitre) : le cas des informations trimestrielles chiffrées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7.</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Observations, réserves ou refus mentionnés dans les rapports sur les informations financières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49</w:t>
            </w:r>
          </w:p>
        </w:tc>
      </w:tr>
      <w:tr w:rsidR="003F2B7A" w:rsidRPr="00821C4B" w:rsidTr="00B43255">
        <w:trPr>
          <w:trHeight w:val="600"/>
        </w:trPr>
        <w:tc>
          <w:tcPr>
            <w:tcW w:w="1200" w:type="dxa"/>
            <w:tcBorders>
              <w:top w:val="nil"/>
              <w:left w:val="single" w:sz="4" w:space="0" w:color="auto"/>
              <w:bottom w:val="nil"/>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400.</w:t>
            </w:r>
          </w:p>
        </w:tc>
        <w:tc>
          <w:tcPr>
            <w:tcW w:w="7200" w:type="dxa"/>
            <w:tcBorders>
              <w:top w:val="nil"/>
              <w:left w:val="nil"/>
              <w:bottom w:val="nil"/>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Prévisions ou estimations de bénéfice</w:t>
            </w:r>
          </w:p>
        </w:tc>
        <w:tc>
          <w:tcPr>
            <w:tcW w:w="1200" w:type="dxa"/>
            <w:tcBorders>
              <w:top w:val="nil"/>
              <w:left w:val="nil"/>
              <w:bottom w:val="nil"/>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50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Rappel des dispositions du règlement prospectus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Responsable de l’établissement des prévisions ou des estimations de bénéfice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Définitions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Prévisions de bénéfice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Estimations de bénéfice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Tendances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Objectifs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3.5.</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Perspectives d’avenir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lastRenderedPageBreak/>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Critères d’analyse de la notion de prévision ou d’estimation de bénéfice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Recommandations de l’ESMA</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Position AMF sur les prévisions de bénéfice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Articulation entre les différents vocables relatifs aux informations financières prospectives et la notion de prévisions de bénéfice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Cas du prospectus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Cas du document de référence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6.</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Précisions apportées sur les conditions d’établissement d’une prévision de bénéfice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Précisions concernant les hypothèses sous-tendant l’établissement de la prévision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Précisions concernant les paramètres et principes à prendre en compte pour l’élaboration des prévisions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Précisions concernant les informations financières prospectives publiées antérieurement à la date de préparation du prospectus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7.</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Précisions concernant les conditions d’établissement d’une estimation de bénéfice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8.</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Intervention du commissaire aux comptes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8.1.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Objectifs relatifs aux prévisions ou estimations de bénéfice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61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8.2.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Diligences du commissaire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63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8.3.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Rapport</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64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8.4.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Cas particulier des prospectus incluant des données financières estimées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67</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500.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Informations financières pro forma</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71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Objectifs des informations financières pro forma</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Rappel du cadre règlementaire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Les textes applicables en matière d’informations financières pro forma</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72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Responsable de l’établissement des informations financières pro forma</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75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Quel commissaire aux comptes établit le rapport sur les informations financières pro forma ?</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75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Eléments justifiant la présentation d’informations financières pro forma</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2.5.</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Cas particuliers</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Présentation des informations financières pro forma</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80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Nature des informations pro forma : comptes pro forma ou informations financières pro forma ?</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Conventions de présentation des informations financières pro forma : distinction Bilan et Compte de résultat</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81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Dates des informations financières pro forma</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81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Format des colonnes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82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3.5.</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Notes explicatives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83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3.6.</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Ajustements pro forma</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85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Intervention du commissaire aux comptes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Objectifs de l’intervention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91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Diligences du commissaire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91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Rapport</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95</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lastRenderedPageBreak/>
              <w:t>Section 600.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Déclarations de l’émetteur sur le fonds de roulement net et sur le niveau des capitaux propres et de l’endettement</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96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Vérifications particulières du commissaire aux comptes sur la déclaration sur le fonds de roulement net contenue dans une note d’opération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97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Rappel des textes applicables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97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Précisions relatives à la déclaration sur le fonds de roulement net – rappel du contenu du communiqué de l’AMF du 9 novembre 2005</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100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Nature des diligences mises en œuvre par le commissaire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100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Cas particuliers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102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Vérifications particulières du commissaire aux comptes sur la déclaration sur le niveau des capitaux propres et de l’endettement contenue dans une note d’opération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106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Rappel des textes applicables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106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Nature des diligences mises en œuvre par le commissaire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109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Cas particuliers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111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Compte rendu des vérifications dans la lettre de fin de travaux</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Limitation à l’étendue des travaux</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Désaccord</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Insuffisance de fonds de roulement net dans les douze mois à venir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114</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700.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Informations sur la situation financière et les comptes</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115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Informations sur la situation financière et les comptes donnant lieu à une vérification de concordance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Diligences relatives aux informations sur la situation financière et les comptes rapprochables de « comptes » ayant fait l’objet d’un rapport</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117</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800.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Lecture d’ensemble du prospectus</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118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Rappel des textes applicables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Objectifs de la lecture d’ensemble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Périmètre de la lecture d’ensemble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Diligences du commissaire aux comptes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Autres informations contenues dans le prospectus visées par le II de l’article 212</w:t>
            </w:r>
            <w:r>
              <w:rPr>
                <w:rFonts w:eastAsia="Times New Roman" w:cs="Calibri"/>
                <w:b/>
                <w:bCs/>
                <w:color w:val="000000"/>
                <w:lang w:eastAsia="fr-FR"/>
              </w:rPr>
              <w:noBreakHyphen/>
              <w:t>15 du règlement général de l’AMF</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Attestation du responsable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Matérialisation de la lecture d’ensemble dans la lettre de fin de travaux</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121</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900.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Evénements postérieurs</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122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Incidence des événements postérieurs survenus entre la date du rapport sur les informations financières historiques les plus récentes et la date de la lettre de fin de travaux</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Incidence des événements postérieurs survenus entre la date de la lettre de fin de travaux et la date de clôture de l’offre ou du début de la négociation sur le marché réglementé</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123</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1000.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Lettre d’affirmation</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124</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lastRenderedPageBreak/>
              <w:t>Section 1100.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Lettre de fin de travaux</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125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Rappel des textes applicables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Conditions pour l’établissement de la lettre de fin de travaux</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Cas particuliers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Prospectus établi sous la forme d’un document unique, document de base, document de référence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Actualisation et rectification du document de référence ou document de base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Prospectus composé de plusieurs documents distincts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127</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Exception à l’établissement d’une lettre de fin de travaux pour un prospectus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Autres cas d’établissement d’une lettre de fin de travaux</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Documents établis à l’occasion d’opérations de fusion, de scission ou d’apports partiels d’actifs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5.2.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Autres informations déposées à l’AMF dans le cadre d’une offre publique d’acquisition (OPA, OPAS, OPE, OPR, garanties de cours,…)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129</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1200.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Cas d’une première intervention du commissaire aux comptes commençant par le contrôle d’un prospectus</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129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Etablissement de la lettre de fin de travaux</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Etablissement des rapports inclus dans le prospectus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130</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1300.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Exemples de lettre de mission</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131</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1400.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Exemples de rapports</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131</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1500.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Exemples de lettre de fin de travaux</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131</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1600.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Exemples de lettre d’affirmation</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132</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1700.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 xml:space="preserve">Emetteurs étrangers – interventions d’un commissaire aux comptes sur la traduction en français des états </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132</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1800.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Annexes</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Les schémas de prospectus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Tableau de synthèse – cas nécessitant l’établissement d’une lettre de fin de travaux</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Tableau de synthèse des obligations lors d’une offre au public et/ou d’une demande d’admission sur un marché réglementé ou non – titres de capital</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Tableau de synthèse des obligations lors d’une offre au public et/ou d’une demande d’admission sur un marché réglementé ou non – titres de créance de valeur nominale unitaire &lt; 100 000 euros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Tableau de synthèse des obligations lors d’une offre au public et/ou d’une demande d’admission sur un marché réglementé ou non – titres de créance de valeur nominale unitaire &gt; 100 000 euros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141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6.</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Sources et lien internet de la documentation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142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Directives 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142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Règlement 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142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lastRenderedPageBreak/>
              <w:t>6.3.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Règlement AMF</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143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Instructions AMF</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0351E2">
              <w:t>143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6.5.</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Positions AMF</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0351E2">
              <w:t>143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6.6.</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Positions recommandations AMF</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0351E2">
              <w:t>143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6.7.</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Reco ESMA (anciennement CESR)</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0351E2">
              <w:t>143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6.8.</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NEP</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144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6.9.</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Notes d’information CNCC</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3314A0">
              <w:t>144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6.10.</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Communiqués CNCC/AMF</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3314A0">
              <w:t>144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6.11.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ISA</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rsidRPr="003314A0">
              <w:t>144</w:t>
            </w:r>
          </w:p>
        </w:tc>
      </w:tr>
    </w:tbl>
    <w:p w:rsidR="003F2B7A" w:rsidRDefault="003F2B7A" w:rsidP="003F2B7A">
      <w:pPr>
        <w:pStyle w:val="CACCorps"/>
      </w:pPr>
    </w:p>
    <w:p w:rsidR="003F2B7A" w:rsidRDefault="003F2B7A" w:rsidP="003F2B7A">
      <w:pPr>
        <w:pStyle w:val="CACTitre2"/>
        <w:numPr>
          <w:ilvl w:val="0"/>
          <w:numId w:val="0"/>
        </w:numPr>
        <w:ind w:left="792"/>
      </w:pPr>
      <w:bookmarkStart w:id="8" w:name="_Toc452384252"/>
      <w:r>
        <w:t>Chapitre 2416 – Focus sur d’autres mises en situation non récurrentes</w:t>
      </w:r>
      <w:bookmarkEnd w:id="8"/>
    </w:p>
    <w:p w:rsidR="003F2B7A" w:rsidRDefault="003F2B7A" w:rsidP="003F2B7A">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3F2B7A" w:rsidRPr="00821C4B" w:rsidTr="00B43255">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F2B7A" w:rsidRPr="00821C4B" w:rsidRDefault="003F2B7A" w:rsidP="00B43255">
            <w:pPr>
              <w:jc w:val="center"/>
              <w:rPr>
                <w:rFonts w:eastAsia="Times New Roman" w:cs="Calibri"/>
                <w:b/>
                <w:bCs/>
                <w:color w:val="000000"/>
                <w:lang w:eastAsia="fr-FR"/>
              </w:rPr>
            </w:pPr>
            <w:r w:rsidRPr="00821C4B">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3F2B7A" w:rsidRPr="00821C4B" w:rsidRDefault="003F2B7A" w:rsidP="00B43255">
            <w:pPr>
              <w:jc w:val="center"/>
              <w:rPr>
                <w:rFonts w:eastAsia="Times New Roman" w:cs="Calibri"/>
                <w:b/>
                <w:bCs/>
                <w:color w:val="000000"/>
                <w:lang w:eastAsia="fr-FR"/>
              </w:rPr>
            </w:pPr>
            <w:r w:rsidRPr="00821C4B">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3F2B7A" w:rsidRPr="00821C4B" w:rsidRDefault="003F2B7A" w:rsidP="00B43255">
            <w:pPr>
              <w:jc w:val="center"/>
              <w:rPr>
                <w:rFonts w:eastAsia="Times New Roman" w:cs="Calibri"/>
                <w:b/>
                <w:bCs/>
                <w:color w:val="000000"/>
                <w:lang w:eastAsia="fr-FR"/>
              </w:rPr>
            </w:pPr>
            <w:r w:rsidRPr="00821C4B">
              <w:rPr>
                <w:rFonts w:eastAsia="Times New Roman" w:cs="Calibri"/>
                <w:b/>
                <w:bCs/>
                <w:color w:val="000000"/>
                <w:lang w:eastAsia="fr-FR"/>
              </w:rPr>
              <w:t>Page</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3F2B7A" w:rsidRPr="00821C4B" w:rsidRDefault="003F2B7A" w:rsidP="00B43255">
            <w:pPr>
              <w:jc w:val="left"/>
              <w:rPr>
                <w:rFonts w:eastAsia="Times New Roman" w:cs="Calibri"/>
                <w:b/>
                <w:bCs/>
                <w:color w:val="FFFFFF"/>
                <w:lang w:eastAsia="fr-FR"/>
              </w:rPr>
            </w:pPr>
            <w:r w:rsidRPr="00821C4B">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left"/>
              <w:rPr>
                <w:rFonts w:eastAsia="Times New Roman" w:cs="Calibri"/>
                <w:b/>
                <w:bCs/>
                <w:color w:val="FFFFFF"/>
                <w:lang w:eastAsia="fr-FR"/>
              </w:rPr>
            </w:pPr>
            <w:r>
              <w:rPr>
                <w:rFonts w:eastAsia="Times New Roman" w:cs="Calibri"/>
                <w:b/>
                <w:bCs/>
                <w:color w:val="FFFFFF"/>
                <w:lang w:eastAsia="fr-FR"/>
              </w:rPr>
              <w:t>Prévisions ou estimations de bénéfice</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4</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Pr="00821C4B" w:rsidRDefault="003F2B7A" w:rsidP="00B43255">
            <w:pPr>
              <w:jc w:val="left"/>
              <w:rPr>
                <w:rFonts w:eastAsia="Times New Roman" w:cs="Calibri"/>
                <w:b/>
                <w:bCs/>
                <w:color w:val="FFFFFF"/>
                <w:lang w:eastAsia="fr-FR"/>
              </w:rPr>
            </w:pPr>
            <w:r>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Information pro forma</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Dans le cadre d’un prospectus ou d’un document de référence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Dans le cadre de l’information périodique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Dans le cadre de l’établissement d’un prospectus (ou document de référence) pour une émission d’actions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Dans le cadre de l’information périodique donnée par un émetteur, dont les actions sont déjà admises aux négociations sur un marché réglementé</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Dans le cas de l’incorporation du rapport financier dans un prospectus ou un document de référence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Dans le cas où les informations pro forma sont fournies en dehors des comptes dans le prospectus ou le document de référence, les commissaires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Dans le cas où les informations pro forma complémentaires sont incluses dans les notes annexes des comptes consolidés faisant l’objet de la certification des commissaires aux comptes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7</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Opérations sur le capital – résolutions « habituelles » aux AGE</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8</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 xml:space="preserve">Descriptif de l’obligation ou de la spécificité pour le(s) commissaire(s) aux </w:t>
            </w:r>
            <w:r>
              <w:rPr>
                <w:rFonts w:eastAsia="Times New Roman" w:cs="Calibri"/>
                <w:b/>
                <w:bCs/>
                <w:color w:val="000000"/>
                <w:lang w:eastAsia="fr-FR"/>
              </w:rPr>
              <w:lastRenderedPageBreak/>
              <w:t>comptes / points d’attention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lastRenderedPageBreak/>
              <w:t>9</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lastRenderedPageBreak/>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CNCC</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10</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AMF</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AFEP-MEDEF</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4.4.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MiddleNext</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w:t>
            </w:r>
          </w:p>
        </w:tc>
      </w:tr>
      <w:tr w:rsidR="003F2B7A" w:rsidRPr="00821C4B" w:rsidTr="00B43255">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Franchissements de seuils</w:t>
            </w:r>
          </w:p>
        </w:tc>
        <w:tc>
          <w:tcPr>
            <w:tcW w:w="1200" w:type="dxa"/>
            <w:tcBorders>
              <w:top w:val="nil"/>
              <w:left w:val="nil"/>
              <w:bottom w:val="single" w:sz="4" w:space="0" w:color="auto"/>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Remarque préliminaire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11</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Information relative au nombre total de droits de vote et d’actions composant le capital</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Information dans le rapport de gestion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Information dans le document de référence</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12</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d’attention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Vérifications spécifiques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Révélation des faits délictueux</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w:t>
            </w:r>
          </w:p>
        </w:tc>
      </w:tr>
      <w:tr w:rsidR="003F2B7A" w:rsidRPr="00821C4B" w:rsidTr="00B43255">
        <w:trPr>
          <w:trHeight w:val="600"/>
        </w:trPr>
        <w:tc>
          <w:tcPr>
            <w:tcW w:w="1200" w:type="dxa"/>
            <w:tcBorders>
              <w:top w:val="nil"/>
              <w:left w:val="single" w:sz="4" w:space="0" w:color="auto"/>
              <w:bottom w:val="nil"/>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Section 500.</w:t>
            </w:r>
          </w:p>
        </w:tc>
        <w:tc>
          <w:tcPr>
            <w:tcW w:w="7200" w:type="dxa"/>
            <w:tcBorders>
              <w:top w:val="nil"/>
              <w:left w:val="nil"/>
              <w:bottom w:val="nil"/>
              <w:right w:val="single" w:sz="4" w:space="0" w:color="auto"/>
            </w:tcBorders>
            <w:shd w:val="clear" w:color="000000" w:fill="002060"/>
            <w:vAlign w:val="center"/>
          </w:tcPr>
          <w:p w:rsidR="003F2B7A" w:rsidRDefault="003F2B7A" w:rsidP="00B43255">
            <w:pPr>
              <w:jc w:val="left"/>
              <w:rPr>
                <w:rFonts w:eastAsia="Times New Roman" w:cs="Calibri"/>
                <w:b/>
                <w:bCs/>
                <w:color w:val="FFFFFF"/>
                <w:lang w:eastAsia="fr-FR"/>
              </w:rPr>
            </w:pPr>
            <w:r>
              <w:rPr>
                <w:rFonts w:eastAsia="Times New Roman" w:cs="Calibri"/>
                <w:b/>
                <w:bCs/>
                <w:color w:val="FFFFFF"/>
                <w:lang w:eastAsia="fr-FR"/>
              </w:rPr>
              <w:t>Opérations sur actions propres</w:t>
            </w:r>
          </w:p>
        </w:tc>
        <w:tc>
          <w:tcPr>
            <w:tcW w:w="1200" w:type="dxa"/>
            <w:tcBorders>
              <w:top w:val="nil"/>
              <w:left w:val="nil"/>
              <w:bottom w:val="nil"/>
              <w:right w:val="single" w:sz="4" w:space="0" w:color="auto"/>
            </w:tcBorders>
            <w:shd w:val="clear" w:color="000000" w:fill="002060"/>
            <w:vAlign w:val="center"/>
          </w:tcPr>
          <w:p w:rsidR="003F2B7A" w:rsidRPr="00821C4B" w:rsidRDefault="003F2B7A" w:rsidP="00B43255">
            <w:pPr>
              <w:jc w:val="center"/>
              <w:rPr>
                <w:rFonts w:eastAsia="Times New Roman" w:cs="Calibri"/>
                <w:b/>
                <w:bCs/>
                <w:color w:val="FFFFFF"/>
                <w:lang w:eastAsia="fr-FR"/>
              </w:rPr>
            </w:pPr>
            <w:r>
              <w:rPr>
                <w:rFonts w:eastAsia="Times New Roman" w:cs="Calibri"/>
                <w:b/>
                <w:bCs/>
                <w:color w:val="FFFFFF"/>
                <w:lang w:eastAsia="fr-FR"/>
              </w:rP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Code de commerce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13</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Offre publique d’achat simplifié</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Programme de rachat d’actions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Rachat en vue d’une réduction non motivée par des pertes</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14</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Programme de rachat d’actions dans le cadre de l’article L. 225-209</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Compétence de l’assemblée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Délégation</w:t>
            </w:r>
          </w:p>
        </w:tc>
        <w:tc>
          <w:tcPr>
            <w:tcW w:w="1200" w:type="dxa"/>
            <w:tcBorders>
              <w:top w:val="nil"/>
              <w:left w:val="nil"/>
              <w:bottom w:val="single" w:sz="4" w:space="0" w:color="auto"/>
              <w:right w:val="single" w:sz="4" w:space="0" w:color="auto"/>
            </w:tcBorders>
            <w:shd w:val="clear" w:color="auto" w:fill="auto"/>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2.5.</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Information préalable du marché</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15</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2.6.</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Abstention</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tcPr>
          <w:p w:rsidR="003F2B7A" w:rsidRPr="0059727F" w:rsidRDefault="003F2B7A" w:rsidP="00B43255">
            <w:pPr>
              <w:jc w:val="left"/>
              <w:rPr>
                <w:rFonts w:eastAsia="Times New Roman" w:cs="Calibri"/>
                <w:b/>
                <w:bCs/>
                <w:noProof/>
                <w:color w:val="000000"/>
                <w:lang w:eastAsia="fr-FR"/>
              </w:rPr>
            </w:pPr>
            <w:r>
              <w:rPr>
                <w:rFonts w:eastAsia="Times New Roman" w:cs="Calibri"/>
                <w:b/>
                <w:bCs/>
                <w:noProof/>
                <w:color w:val="000000"/>
                <w:lang w:eastAsia="fr-FR"/>
              </w:rPr>
              <w:t>2.7.</w:t>
            </w:r>
          </w:p>
        </w:tc>
        <w:tc>
          <w:tcPr>
            <w:tcW w:w="7200" w:type="dxa"/>
            <w:tcBorders>
              <w:top w:val="nil"/>
              <w:left w:val="nil"/>
              <w:bottom w:val="single" w:sz="4" w:space="0" w:color="auto"/>
              <w:right w:val="single" w:sz="4" w:space="0" w:color="auto"/>
            </w:tcBorders>
            <w:shd w:val="clear" w:color="auto" w:fill="auto"/>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Information postérieure à la mise en œuvre du programme</w:t>
            </w:r>
          </w:p>
        </w:tc>
        <w:tc>
          <w:tcPr>
            <w:tcW w:w="1200" w:type="dxa"/>
            <w:tcBorders>
              <w:top w:val="nil"/>
              <w:left w:val="nil"/>
              <w:bottom w:val="single" w:sz="4" w:space="0" w:color="auto"/>
              <w:right w:val="single" w:sz="4" w:space="0" w:color="auto"/>
            </w:tcBorders>
            <w:shd w:val="clear" w:color="auto" w:fill="auto"/>
          </w:tcPr>
          <w:p w:rsidR="003F2B7A" w:rsidRDefault="003F2B7A" w:rsidP="00B43255">
            <w:pPr>
              <w:jc w:val="center"/>
            </w:pPr>
            <w:r>
              <w:t>16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Descriptif de l’obligation ou de la spécificité pour le(s) commissaire(s) aux comptes / points d’attention</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16</w:t>
            </w:r>
          </w:p>
        </w:tc>
      </w:tr>
      <w:tr w:rsidR="003F2B7A" w:rsidRPr="0059727F" w:rsidTr="00B43255">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tcPr>
          <w:p w:rsidR="003F2B7A" w:rsidRDefault="003F2B7A" w:rsidP="00B43255">
            <w:pPr>
              <w:jc w:val="left"/>
              <w:rPr>
                <w:rFonts w:eastAsia="Times New Roman" w:cs="Calibri"/>
                <w:b/>
                <w:bCs/>
                <w:color w:val="000000"/>
                <w:lang w:eastAsia="fr-FR"/>
              </w:rPr>
            </w:pPr>
            <w:r>
              <w:rPr>
                <w:rFonts w:eastAsia="Times New Roman" w:cs="Calibri"/>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left"/>
              <w:rPr>
                <w:rFonts w:eastAsia="Times New Roman" w:cs="Calibri"/>
                <w:b/>
                <w:bCs/>
                <w:color w:val="000000"/>
                <w:lang w:eastAsia="fr-FR"/>
              </w:rPr>
            </w:pPr>
            <w:r>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tcPr>
          <w:p w:rsidR="003F2B7A" w:rsidRPr="0059727F" w:rsidRDefault="003F2B7A" w:rsidP="00B43255">
            <w:pPr>
              <w:jc w:val="center"/>
              <w:rPr>
                <w:rFonts w:eastAsia="Times New Roman" w:cs="Calibri"/>
                <w:b/>
                <w:bCs/>
                <w:color w:val="000000"/>
                <w:lang w:eastAsia="fr-FR"/>
              </w:rPr>
            </w:pPr>
            <w:r>
              <w:rPr>
                <w:rFonts w:eastAsia="Times New Roman" w:cs="Calibri"/>
                <w:b/>
                <w:bCs/>
                <w:color w:val="000000"/>
                <w:lang w:eastAsia="fr-FR"/>
              </w:rPr>
              <w:t>16</w:t>
            </w:r>
          </w:p>
        </w:tc>
      </w:tr>
    </w:tbl>
    <w:p w:rsidR="003F2B7A" w:rsidRDefault="003F2B7A" w:rsidP="003F2B7A">
      <w:pPr>
        <w:pStyle w:val="CACCorps"/>
      </w:pPr>
    </w:p>
    <w:p w:rsidR="003F2B7A" w:rsidRDefault="003F2B7A" w:rsidP="003F2B7A">
      <w:pPr>
        <w:pStyle w:val="CACTitre1"/>
        <w:numPr>
          <w:ilvl w:val="0"/>
          <w:numId w:val="4"/>
        </w:numPr>
      </w:pPr>
      <w:bookmarkStart w:id="9" w:name="_Toc414274153"/>
      <w:bookmarkStart w:id="10" w:name="_Toc452384253"/>
      <w:r>
        <w:t>Outils proposés</w:t>
      </w:r>
      <w:bookmarkEnd w:id="9"/>
      <w:bookmarkEnd w:id="10"/>
    </w:p>
    <w:p w:rsidR="003F2B7A" w:rsidRDefault="003F2B7A" w:rsidP="003F2B7A">
      <w:pPr>
        <w:pStyle w:val="CACCorps"/>
      </w:pPr>
    </w:p>
    <w:tbl>
      <w:tblPr>
        <w:tblStyle w:val="Listeclaire"/>
        <w:tblW w:w="9073" w:type="dxa"/>
        <w:tblLook w:val="04A0" w:firstRow="1" w:lastRow="0" w:firstColumn="1" w:lastColumn="0" w:noHBand="0" w:noVBand="1"/>
      </w:tblPr>
      <w:tblGrid>
        <w:gridCol w:w="1418"/>
        <w:gridCol w:w="7655"/>
      </w:tblGrid>
      <w:tr w:rsidR="003F2B7A" w:rsidRPr="00365772" w:rsidTr="00B4325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hideMark/>
          </w:tcPr>
          <w:p w:rsidR="003F2B7A" w:rsidRPr="00365772" w:rsidRDefault="003F2B7A" w:rsidP="00B43255">
            <w:pPr>
              <w:jc w:val="center"/>
              <w:rPr>
                <w:rFonts w:eastAsia="Times New Roman" w:cs="Times New Roman"/>
                <w:b w:val="0"/>
                <w:bCs w:val="0"/>
                <w:color w:val="FFFFFF"/>
                <w:sz w:val="20"/>
                <w:szCs w:val="20"/>
                <w:lang w:eastAsia="fr-FR"/>
              </w:rPr>
            </w:pPr>
            <w:r w:rsidRPr="00365772">
              <w:rPr>
                <w:rFonts w:eastAsia="Times New Roman" w:cs="Times New Roman"/>
                <w:b w:val="0"/>
                <w:color w:val="FFFFFF"/>
                <w:sz w:val="20"/>
                <w:szCs w:val="20"/>
                <w:lang w:eastAsia="fr-FR"/>
              </w:rPr>
              <w:t>Ref</w:t>
            </w:r>
          </w:p>
        </w:tc>
        <w:tc>
          <w:tcPr>
            <w:tcW w:w="7655" w:type="dxa"/>
            <w:hideMark/>
          </w:tcPr>
          <w:p w:rsidR="003F2B7A" w:rsidRPr="00365772" w:rsidRDefault="003F2B7A" w:rsidP="00B43255">
            <w:pP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FFFFFF"/>
                <w:sz w:val="20"/>
                <w:szCs w:val="20"/>
                <w:lang w:eastAsia="fr-FR"/>
              </w:rPr>
            </w:pPr>
            <w:r w:rsidRPr="00365772">
              <w:rPr>
                <w:rFonts w:eastAsia="Times New Roman" w:cs="Times New Roman"/>
                <w:b w:val="0"/>
                <w:color w:val="FFFFFF"/>
                <w:sz w:val="20"/>
                <w:szCs w:val="20"/>
                <w:lang w:eastAsia="fr-FR"/>
              </w:rPr>
              <w:t>Titre</w:t>
            </w:r>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hideMark/>
          </w:tcPr>
          <w:p w:rsidR="003F2B7A" w:rsidRPr="00F13D19" w:rsidRDefault="003F2B7A" w:rsidP="00B43255">
            <w:pPr>
              <w:jc w:val="center"/>
              <w:rPr>
                <w:rFonts w:eastAsia="Times New Roman" w:cs="Times New Roman"/>
                <w:bCs w:val="0"/>
                <w:sz w:val="20"/>
                <w:szCs w:val="20"/>
                <w:lang w:eastAsia="fr-FR"/>
              </w:rPr>
            </w:pPr>
            <w:r w:rsidRPr="00F13D19">
              <w:rPr>
                <w:rFonts w:eastAsia="Times New Roman" w:cs="Times New Roman"/>
                <w:sz w:val="20"/>
                <w:szCs w:val="20"/>
                <w:lang w:eastAsia="fr-FR"/>
              </w:rPr>
              <w:t>NB100.X001</w:t>
            </w:r>
          </w:p>
        </w:tc>
        <w:tc>
          <w:tcPr>
            <w:tcW w:w="7655" w:type="dxa"/>
            <w:hideMark/>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pPr>
            <w:hyperlink r:id="rId13" w:history="1">
              <w:r w:rsidRPr="00C873C7">
                <w:rPr>
                  <w:rStyle w:val="Lienhypertexte"/>
                  <w:sz w:val="20"/>
                </w:rPr>
                <w:t>Lettre de mission complémentaire - Prospectus composé de plusieurs documents</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NB100.X002</w:t>
            </w:r>
          </w:p>
        </w:tc>
        <w:tc>
          <w:tcPr>
            <w:tcW w:w="7655" w:type="dxa"/>
          </w:tcPr>
          <w:p w:rsidR="003F2B7A" w:rsidRPr="00C873C7" w:rsidRDefault="003F2B7A" w:rsidP="00B43255">
            <w:pPr>
              <w:rPr>
                <w:sz w:val="20"/>
                <w:szCs w:val="20"/>
              </w:rPr>
            </w:pPr>
            <w:hyperlink r:id="rId14" w:history="1">
              <w:r w:rsidRPr="00C873C7">
                <w:rPr>
                  <w:rStyle w:val="Lienhypertexte"/>
                  <w:sz w:val="20"/>
                  <w:szCs w:val="20"/>
                </w:rPr>
                <w:t>Lettre de mission complémentaire - Document de base, document de référence, actualisation du document de base, actualisation du document de référence</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NB100.X003</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15" w:history="1">
              <w:r w:rsidRPr="00C873C7">
                <w:rPr>
                  <w:rStyle w:val="Lienhypertexte"/>
                  <w:sz w:val="20"/>
                  <w:szCs w:val="20"/>
                </w:rPr>
                <w:t xml:space="preserve">Lettre de mission complémentaire - Document d’information établi à l’occasion </w:t>
              </w:r>
              <w:r w:rsidRPr="00C873C7">
                <w:rPr>
                  <w:rStyle w:val="Lienhypertexte"/>
                  <w:sz w:val="20"/>
                  <w:szCs w:val="20"/>
                </w:rPr>
                <w:lastRenderedPageBreak/>
                <w:t>d’opération de fusion, scission ou apports partiels d’actifs (« Document E »)</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lastRenderedPageBreak/>
              <w:t>NB100.X004</w:t>
            </w:r>
          </w:p>
        </w:tc>
        <w:tc>
          <w:tcPr>
            <w:tcW w:w="7655" w:type="dxa"/>
          </w:tcPr>
          <w:p w:rsidR="003F2B7A" w:rsidRPr="00C873C7" w:rsidRDefault="003F2B7A" w:rsidP="00B43255">
            <w:pPr>
              <w:rPr>
                <w:sz w:val="20"/>
                <w:szCs w:val="20"/>
              </w:rPr>
            </w:pPr>
            <w:hyperlink r:id="rId16" w:history="1">
              <w:r w:rsidRPr="00C873C7">
                <w:rPr>
                  <w:rStyle w:val="Lienhypertexte"/>
                  <w:sz w:val="20"/>
                  <w:szCs w:val="20"/>
                </w:rPr>
                <w:t>Lettre de mission complémentaire - Document sur « les autres informations relatives aux caractéristiques, notamment juridiques, financières et comptables » déposées auprès de l’AMF par l’initiateur d’une offre publique d’échange</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NB100.X010</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rStyle w:val="Lienhypertexte"/>
                <w:sz w:val="20"/>
                <w:szCs w:val="20"/>
              </w:rPr>
            </w:pPr>
            <w:r>
              <w:rPr>
                <w:sz w:val="20"/>
                <w:szCs w:val="20"/>
              </w:rPr>
              <w:fldChar w:fldCharType="begin"/>
            </w:r>
            <w:r>
              <w:rPr>
                <w:sz w:val="20"/>
                <w:szCs w:val="20"/>
              </w:rPr>
              <w:instrText>HYPERLINK "C:\\Documents and Settings\\MAM\\Bureau\\BoiteOutils 30-05-2016\\Outils et modèles\\AUTRES MISSIONS\\N\\NB100\\NB100.X010.doc"</w:instrText>
            </w:r>
            <w:r>
              <w:rPr>
                <w:sz w:val="20"/>
                <w:szCs w:val="20"/>
              </w:rPr>
            </w:r>
            <w:r>
              <w:rPr>
                <w:sz w:val="20"/>
                <w:szCs w:val="20"/>
              </w:rPr>
              <w:fldChar w:fldCharType="separate"/>
            </w:r>
            <w:r w:rsidRPr="00C873C7">
              <w:rPr>
                <w:rStyle w:val="Lienhypertexte"/>
                <w:sz w:val="20"/>
                <w:szCs w:val="20"/>
              </w:rPr>
              <w:t>Lettre d’affirmation - Prospectus soumis au contrôle de l’AMF, composé d’un résumé,</w:t>
            </w:r>
          </w:p>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r w:rsidRPr="00C873C7">
              <w:rPr>
                <w:rStyle w:val="Lienhypertexte"/>
                <w:sz w:val="20"/>
                <w:szCs w:val="20"/>
              </w:rPr>
              <w:t>d’un document de référence, d’une actualisation et d’une note d’opération</w:t>
            </w:r>
            <w:r>
              <w:rPr>
                <w:sz w:val="20"/>
                <w:szCs w:val="20"/>
              </w:rPr>
              <w:fldChar w:fldCharType="end"/>
            </w:r>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NB100.X011</w:t>
            </w:r>
          </w:p>
        </w:tc>
        <w:tc>
          <w:tcPr>
            <w:tcW w:w="7655" w:type="dxa"/>
          </w:tcPr>
          <w:p w:rsidR="003F2B7A" w:rsidRPr="00C873C7" w:rsidRDefault="003F2B7A" w:rsidP="00B43255">
            <w:pPr>
              <w:rPr>
                <w:sz w:val="20"/>
                <w:szCs w:val="20"/>
              </w:rPr>
            </w:pPr>
            <w:hyperlink r:id="rId17" w:history="1">
              <w:r w:rsidRPr="00C873C7">
                <w:rPr>
                  <w:rStyle w:val="Lienhypertexte"/>
                  <w:sz w:val="20"/>
                  <w:szCs w:val="20"/>
                </w:rPr>
                <w:t>Lettre d’affirmation - Prospectus soumis au contrôle de l’AMF, composé d’un document unique</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NB100.X012</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18" w:history="1">
              <w:r w:rsidRPr="00C873C7">
                <w:rPr>
                  <w:rStyle w:val="Lienhypertexte"/>
                  <w:sz w:val="20"/>
                  <w:szCs w:val="20"/>
                </w:rPr>
                <w:t>Lettre d’affirmation - Document de base, document de référence, actualisation du document de base, actualisation du document de référence soumis au contrôle de l’AMF</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NB100.X013</w:t>
            </w:r>
          </w:p>
        </w:tc>
        <w:tc>
          <w:tcPr>
            <w:tcW w:w="7655" w:type="dxa"/>
          </w:tcPr>
          <w:p w:rsidR="003F2B7A" w:rsidRPr="00C873C7" w:rsidRDefault="003F2B7A" w:rsidP="00B43255">
            <w:pPr>
              <w:rPr>
                <w:sz w:val="20"/>
                <w:szCs w:val="20"/>
              </w:rPr>
            </w:pPr>
            <w:hyperlink r:id="rId19" w:history="1">
              <w:r w:rsidRPr="00C873C7">
                <w:rPr>
                  <w:rStyle w:val="Lienhypertexte"/>
                  <w:sz w:val="20"/>
                  <w:szCs w:val="20"/>
                </w:rPr>
                <w:t>Lettre d’affirmation - Document « autres informations de l’initiateur » déposé auprès de l’AMF dans le cadre d’une offre publique d’échange</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NB100.X014</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rStyle w:val="Lienhypertexte"/>
                <w:sz w:val="20"/>
                <w:szCs w:val="20"/>
              </w:rPr>
            </w:pPr>
            <w:r>
              <w:rPr>
                <w:sz w:val="20"/>
                <w:szCs w:val="20"/>
              </w:rPr>
              <w:fldChar w:fldCharType="begin"/>
            </w:r>
            <w:r>
              <w:rPr>
                <w:sz w:val="20"/>
                <w:szCs w:val="20"/>
              </w:rPr>
              <w:instrText>HYPERLINK "C:\\Documents and Settings\\MAM\\Bureau\\BoiteOutils 30-05-2016\\Outils et modèles\\AUTRES MISSIONS\\N\\NB100\\NB100.X014.doc"</w:instrText>
            </w:r>
            <w:r>
              <w:rPr>
                <w:sz w:val="20"/>
                <w:szCs w:val="20"/>
              </w:rPr>
            </w:r>
            <w:r>
              <w:rPr>
                <w:sz w:val="20"/>
                <w:szCs w:val="20"/>
              </w:rPr>
              <w:fldChar w:fldCharType="separate"/>
            </w:r>
            <w:r w:rsidRPr="00C873C7">
              <w:rPr>
                <w:rStyle w:val="Lienhypertexte"/>
                <w:sz w:val="20"/>
                <w:szCs w:val="20"/>
              </w:rPr>
              <w:t>Lettre d’affirmation - Document enregistré auprès de l’AMF dans le cadre d’une fusion,</w:t>
            </w:r>
          </w:p>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r w:rsidRPr="00C873C7">
              <w:rPr>
                <w:rStyle w:val="Lienhypertexte"/>
                <w:sz w:val="20"/>
                <w:szCs w:val="20"/>
              </w:rPr>
              <w:t>d’une scission ou d’un apport partiel d’actifs (Document E)</w:t>
            </w:r>
            <w:r>
              <w:rPr>
                <w:sz w:val="20"/>
                <w:szCs w:val="20"/>
              </w:rPr>
              <w:fldChar w:fldCharType="end"/>
            </w:r>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NB100.X020</w:t>
            </w:r>
          </w:p>
        </w:tc>
        <w:tc>
          <w:tcPr>
            <w:tcW w:w="7655" w:type="dxa"/>
          </w:tcPr>
          <w:p w:rsidR="003F2B7A" w:rsidRPr="00C873C7" w:rsidRDefault="003F2B7A" w:rsidP="00B43255">
            <w:pPr>
              <w:rPr>
                <w:sz w:val="20"/>
                <w:szCs w:val="20"/>
              </w:rPr>
            </w:pPr>
            <w:hyperlink r:id="rId20" w:history="1">
              <w:r w:rsidRPr="00C873C7">
                <w:rPr>
                  <w:rStyle w:val="Lienhypertexte"/>
                  <w:sz w:val="20"/>
                  <w:szCs w:val="20"/>
                </w:rPr>
                <w:t>Lettre de fin de travaux - Prospectus établi sous la forme d’un document unique</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NB100.X021</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21" w:history="1">
              <w:r w:rsidRPr="00C873C7">
                <w:rPr>
                  <w:rStyle w:val="Lienhypertexte"/>
                  <w:sz w:val="20"/>
                  <w:szCs w:val="20"/>
                </w:rPr>
                <w:t>Lettre de fin de travaux - Prospectus composé d’un résumé, d’un document de base ou de référence (d’une actualisation, d’un rectificatif) et d’une note d’opération</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NB100.X022</w:t>
            </w:r>
          </w:p>
        </w:tc>
        <w:tc>
          <w:tcPr>
            <w:tcW w:w="7655" w:type="dxa"/>
          </w:tcPr>
          <w:p w:rsidR="003F2B7A" w:rsidRPr="00C873C7" w:rsidRDefault="003F2B7A" w:rsidP="00B43255">
            <w:pPr>
              <w:rPr>
                <w:sz w:val="20"/>
                <w:szCs w:val="20"/>
              </w:rPr>
            </w:pPr>
            <w:hyperlink r:id="rId22" w:history="1">
              <w:r w:rsidRPr="00C873C7">
                <w:rPr>
                  <w:rStyle w:val="Lienhypertexte"/>
                  <w:sz w:val="20"/>
                  <w:szCs w:val="20"/>
                </w:rPr>
                <w:t>Lettre de fin de travaux - Document de base</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NB100.X023</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23" w:history="1">
              <w:r w:rsidRPr="00C873C7">
                <w:rPr>
                  <w:rStyle w:val="Lienhypertexte"/>
                  <w:sz w:val="20"/>
                  <w:szCs w:val="20"/>
                </w:rPr>
                <w:t>Lettre de fin de travaux - Document de référence</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NB100.X024</w:t>
            </w:r>
          </w:p>
        </w:tc>
        <w:tc>
          <w:tcPr>
            <w:tcW w:w="7655" w:type="dxa"/>
          </w:tcPr>
          <w:p w:rsidR="003F2B7A" w:rsidRPr="00C873C7" w:rsidRDefault="003F2B7A" w:rsidP="00B43255">
            <w:pPr>
              <w:rPr>
                <w:sz w:val="20"/>
                <w:szCs w:val="20"/>
              </w:rPr>
            </w:pPr>
            <w:hyperlink r:id="rId24" w:history="1">
              <w:r w:rsidRPr="00C873C7">
                <w:rPr>
                  <w:rStyle w:val="Lienhypertexte"/>
                  <w:sz w:val="20"/>
                  <w:szCs w:val="20"/>
                </w:rPr>
                <w:t>Lettre de fin de travaux - Actualisation du document de référence</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NB100.X025</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25" w:history="1">
              <w:r w:rsidRPr="00C873C7">
                <w:rPr>
                  <w:rStyle w:val="Lienhypertexte"/>
                  <w:sz w:val="20"/>
                  <w:szCs w:val="20"/>
                </w:rPr>
                <w:t>Lettre de fin de travaux - Rectificatif du document de référence</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NB100.X026</w:t>
            </w:r>
          </w:p>
        </w:tc>
        <w:tc>
          <w:tcPr>
            <w:tcW w:w="7655" w:type="dxa"/>
          </w:tcPr>
          <w:p w:rsidR="003F2B7A" w:rsidRPr="00C873C7" w:rsidRDefault="003F2B7A" w:rsidP="00B43255">
            <w:pPr>
              <w:rPr>
                <w:rStyle w:val="Lienhypertexte"/>
                <w:sz w:val="20"/>
                <w:szCs w:val="20"/>
              </w:rPr>
            </w:pPr>
            <w:r>
              <w:rPr>
                <w:sz w:val="20"/>
                <w:szCs w:val="20"/>
              </w:rPr>
              <w:fldChar w:fldCharType="begin"/>
            </w:r>
            <w:r>
              <w:rPr>
                <w:sz w:val="20"/>
                <w:szCs w:val="20"/>
              </w:rPr>
              <w:instrText>HYPERLINK "C:\\Documents and Settings\\MAM\\Bureau\\BoiteOutils 30-05-2016\\Outils et modèles\\AUTRES MISSIONS\\N\\NB100\\NB100.X026.doc"</w:instrText>
            </w:r>
            <w:r>
              <w:rPr>
                <w:sz w:val="20"/>
                <w:szCs w:val="20"/>
              </w:rPr>
            </w:r>
            <w:r>
              <w:rPr>
                <w:sz w:val="20"/>
                <w:szCs w:val="20"/>
              </w:rPr>
              <w:fldChar w:fldCharType="separate"/>
            </w:r>
            <w:r w:rsidRPr="00C873C7">
              <w:rPr>
                <w:rStyle w:val="Lienhypertexte"/>
                <w:sz w:val="20"/>
                <w:szCs w:val="20"/>
              </w:rPr>
              <w:t>Lettre de fin de travaux - Document enregistré dans le cadre d’une fusion, d’une scission</w:t>
            </w:r>
          </w:p>
          <w:p w:rsidR="003F2B7A" w:rsidRPr="00C873C7" w:rsidRDefault="003F2B7A" w:rsidP="00B43255">
            <w:pPr>
              <w:rPr>
                <w:sz w:val="20"/>
                <w:szCs w:val="20"/>
              </w:rPr>
            </w:pPr>
            <w:r w:rsidRPr="00C873C7">
              <w:rPr>
                <w:rStyle w:val="Lienhypertexte"/>
                <w:sz w:val="20"/>
                <w:szCs w:val="20"/>
              </w:rPr>
              <w:t>ou d’un apport partiel d’actifs (Document E)</w:t>
            </w:r>
            <w:r>
              <w:rPr>
                <w:sz w:val="20"/>
                <w:szCs w:val="20"/>
              </w:rPr>
              <w:fldChar w:fldCharType="end"/>
            </w:r>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NB100.X027</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26" w:history="1">
              <w:r w:rsidRPr="00C873C7">
                <w:rPr>
                  <w:rStyle w:val="Lienhypertexte"/>
                  <w:sz w:val="20"/>
                  <w:szCs w:val="20"/>
                </w:rPr>
                <w:t>Lettre de fin de travaux - « Autres informations relatives aux caractéristiques, notamment juridiques, financières et comptables » déposées auprès de l’AMF par l’initiateur d’une offre publique d’échange</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NB100.X028</w:t>
            </w:r>
          </w:p>
        </w:tc>
        <w:tc>
          <w:tcPr>
            <w:tcW w:w="7655" w:type="dxa"/>
          </w:tcPr>
          <w:p w:rsidR="003F2B7A" w:rsidRPr="00C873C7" w:rsidRDefault="003F2B7A" w:rsidP="00B43255">
            <w:pPr>
              <w:rPr>
                <w:sz w:val="20"/>
                <w:szCs w:val="20"/>
              </w:rPr>
            </w:pPr>
            <w:hyperlink r:id="rId27" w:history="1">
              <w:r w:rsidRPr="00C873C7">
                <w:rPr>
                  <w:rStyle w:val="Lienhypertexte"/>
                  <w:sz w:val="20"/>
                  <w:szCs w:val="20"/>
                </w:rPr>
                <w:t>Lettre adressée à l’émetteur sur le prospectus relatif à l’admission de titres de créance à la négociation sur un marché réglementé – Offre au public ou admission sur un marché réglementé de titres de créances ne donnant pas accès au capital</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NB100.X029</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28" w:history="1">
              <w:r w:rsidRPr="00C873C7">
                <w:rPr>
                  <w:rStyle w:val="Lienhypertexte"/>
                  <w:sz w:val="20"/>
                  <w:szCs w:val="20"/>
                </w:rPr>
                <w:t>Lettre de fin de travaux - Note complémentaire (ou supplément) au prospectus</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NB100.X040</w:t>
            </w:r>
          </w:p>
        </w:tc>
        <w:tc>
          <w:tcPr>
            <w:tcW w:w="7655" w:type="dxa"/>
          </w:tcPr>
          <w:p w:rsidR="003F2B7A" w:rsidRPr="00C873C7" w:rsidRDefault="003F2B7A" w:rsidP="00B43255">
            <w:pPr>
              <w:rPr>
                <w:sz w:val="20"/>
                <w:szCs w:val="20"/>
              </w:rPr>
            </w:pPr>
            <w:hyperlink r:id="rId29" w:history="1">
              <w:r w:rsidRPr="00C873C7">
                <w:rPr>
                  <w:rStyle w:val="Lienhypertexte"/>
                  <w:sz w:val="20"/>
                  <w:szCs w:val="20"/>
                </w:rPr>
                <w:t>Rapport d’audit sur un jeu de comptes consolidés unique couvrant plusieurs exercices préparé pour les besoins d’une offre au public et/ou d’une admission de titres de capital ou de créance aux négociations sur le marché réglementé</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NB100.X041</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30" w:history="1">
              <w:r w:rsidRPr="00C873C7">
                <w:rPr>
                  <w:rStyle w:val="Lienhypertexte"/>
                  <w:sz w:val="20"/>
                  <w:szCs w:val="20"/>
                </w:rPr>
                <w:t>Rapport d’audit sur un jeu de comptes consolidés unique couvrant plusieurs exercices préparé pour les besoins d’une offre au public et/ou d’une admission de titres de capital ou de créance aux négociations sur le marché réglementé (Anglais)</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NB100.X042</w:t>
            </w:r>
          </w:p>
        </w:tc>
        <w:tc>
          <w:tcPr>
            <w:tcW w:w="7655" w:type="dxa"/>
          </w:tcPr>
          <w:p w:rsidR="003F2B7A" w:rsidRPr="00C873C7" w:rsidRDefault="003F2B7A" w:rsidP="00B43255">
            <w:pPr>
              <w:rPr>
                <w:sz w:val="20"/>
                <w:szCs w:val="20"/>
              </w:rPr>
            </w:pPr>
            <w:hyperlink r:id="rId31" w:history="1">
              <w:r w:rsidRPr="00C873C7">
                <w:rPr>
                  <w:rStyle w:val="Lienhypertexte"/>
                  <w:sz w:val="20"/>
                  <w:szCs w:val="20"/>
                </w:rPr>
                <w:t>Rapport d’audit du (des) commissaire(s) aux comptes sur les tableaux de financement pour les exercices (N-2), N-1 et N</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NB100.X043</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32" w:history="1">
              <w:r w:rsidRPr="00C873C7">
                <w:rPr>
                  <w:rStyle w:val="Lienhypertexte"/>
                  <w:sz w:val="20"/>
                  <w:szCs w:val="20"/>
                </w:rPr>
                <w:t>Rapport d'examen limité du (des) commissaire(s) aux comptes sur les comptes consolidés intermédiaires (résumés)</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NB100.X044</w:t>
            </w:r>
          </w:p>
        </w:tc>
        <w:tc>
          <w:tcPr>
            <w:tcW w:w="7655" w:type="dxa"/>
          </w:tcPr>
          <w:p w:rsidR="003F2B7A" w:rsidRPr="00C873C7" w:rsidRDefault="003F2B7A" w:rsidP="00B43255">
            <w:pPr>
              <w:rPr>
                <w:sz w:val="20"/>
                <w:szCs w:val="20"/>
              </w:rPr>
            </w:pPr>
            <w:hyperlink r:id="rId33" w:history="1">
              <w:r w:rsidRPr="00CD3AE3">
                <w:rPr>
                  <w:rStyle w:val="Lienhypertexte"/>
                  <w:sz w:val="20"/>
                  <w:szCs w:val="20"/>
                </w:rPr>
                <w:t>Rapport d’examen limité des comptes consolidés intermédiaires (résumés) préparés pour les besoins d’une offre au public et/ou d’une admission de titres de capital ou de créance aux négociations sur un marché réglementé (Anglais)</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NB100.X045</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34" w:history="1">
              <w:r w:rsidRPr="00CD3AE3">
                <w:rPr>
                  <w:rStyle w:val="Lienhypertexte"/>
                  <w:sz w:val="20"/>
                  <w:szCs w:val="20"/>
                </w:rPr>
                <w:t>Rapport du (des) commissaire(s) aux comptes sur les prévisions de bénéfice</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NB100.X046</w:t>
            </w:r>
          </w:p>
        </w:tc>
        <w:tc>
          <w:tcPr>
            <w:tcW w:w="7655" w:type="dxa"/>
          </w:tcPr>
          <w:p w:rsidR="003F2B7A" w:rsidRPr="00C873C7" w:rsidRDefault="003F2B7A" w:rsidP="00B43255">
            <w:pPr>
              <w:rPr>
                <w:sz w:val="20"/>
                <w:szCs w:val="20"/>
              </w:rPr>
            </w:pPr>
            <w:hyperlink r:id="rId35" w:history="1">
              <w:r w:rsidRPr="00CD3AE3">
                <w:rPr>
                  <w:rStyle w:val="Lienhypertexte"/>
                  <w:sz w:val="20"/>
                  <w:szCs w:val="20"/>
                </w:rPr>
                <w:t>Rapport du (des) commissaire(s) aux comptes sur les prévisions de bénéfice (Anglais)</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NB100.X047</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36" w:history="1">
              <w:r w:rsidRPr="00CD3AE3">
                <w:rPr>
                  <w:rStyle w:val="Lienhypertexte"/>
                  <w:sz w:val="20"/>
                  <w:szCs w:val="20"/>
                </w:rPr>
                <w:t>Rapport du (des) commissaire(s) aux comptes sur les estimations de bénéfice</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NB100.X048</w:t>
            </w:r>
          </w:p>
        </w:tc>
        <w:tc>
          <w:tcPr>
            <w:tcW w:w="7655" w:type="dxa"/>
          </w:tcPr>
          <w:p w:rsidR="003F2B7A" w:rsidRPr="00C873C7" w:rsidRDefault="003F2B7A" w:rsidP="00B43255">
            <w:pPr>
              <w:rPr>
                <w:sz w:val="20"/>
                <w:szCs w:val="20"/>
              </w:rPr>
            </w:pPr>
            <w:hyperlink r:id="rId37" w:history="1">
              <w:r w:rsidRPr="00CD3AE3">
                <w:rPr>
                  <w:rStyle w:val="Lienhypertexte"/>
                  <w:sz w:val="20"/>
                  <w:szCs w:val="20"/>
                </w:rPr>
                <w:t>Rapport du (des) commissaire(s) aux comptes sur les estimations de bénéfice (Anglais)</w:t>
              </w:r>
            </w:hyperlink>
          </w:p>
        </w:tc>
      </w:tr>
      <w:tr w:rsidR="003F2B7A" w:rsidRPr="00365772" w:rsidTr="00B4325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3F2B7A" w:rsidRPr="00F13D19" w:rsidRDefault="003F2B7A" w:rsidP="00B43255">
            <w:pPr>
              <w:jc w:val="center"/>
              <w:rPr>
                <w:rFonts w:eastAsia="Times New Roman" w:cs="Times New Roman"/>
                <w:bCs w:val="0"/>
                <w:sz w:val="20"/>
                <w:szCs w:val="20"/>
                <w:lang w:eastAsia="fr-FR"/>
              </w:rPr>
            </w:pPr>
            <w:r>
              <w:rPr>
                <w:rFonts w:eastAsia="Times New Roman" w:cs="Times New Roman"/>
                <w:sz w:val="20"/>
                <w:szCs w:val="20"/>
                <w:lang w:eastAsia="fr-FR"/>
              </w:rPr>
              <w:t>NB100.X049</w:t>
            </w:r>
          </w:p>
        </w:tc>
        <w:tc>
          <w:tcPr>
            <w:tcW w:w="7655" w:type="dxa"/>
          </w:tcPr>
          <w:p w:rsidR="003F2B7A" w:rsidRPr="00C873C7" w:rsidRDefault="003F2B7A" w:rsidP="00B43255">
            <w:pPr>
              <w:cnfStyle w:val="000000100000" w:firstRow="0" w:lastRow="0" w:firstColumn="0" w:lastColumn="0" w:oddVBand="0" w:evenVBand="0" w:oddHBand="1" w:evenHBand="0" w:firstRowFirstColumn="0" w:firstRowLastColumn="0" w:lastRowFirstColumn="0" w:lastRowLastColumn="0"/>
              <w:rPr>
                <w:sz w:val="20"/>
                <w:szCs w:val="20"/>
              </w:rPr>
            </w:pPr>
            <w:hyperlink r:id="rId38" w:history="1">
              <w:r w:rsidRPr="00CD3AE3">
                <w:rPr>
                  <w:rStyle w:val="Lienhypertexte"/>
                  <w:sz w:val="20"/>
                  <w:szCs w:val="20"/>
                </w:rPr>
                <w:t>Rapport du (des) commissaire(s) aux comptes sur les informations financières pro forma</w:t>
              </w:r>
            </w:hyperlink>
          </w:p>
        </w:tc>
      </w:tr>
      <w:tr w:rsidR="003F2B7A" w:rsidRPr="00365772" w:rsidTr="00B43255">
        <w:trPr>
          <w:trHeight w:val="255"/>
        </w:trPr>
        <w:tc>
          <w:tcPr>
            <w:tcW w:w="1418" w:type="dxa"/>
          </w:tcPr>
          <w:p w:rsidR="003F2B7A" w:rsidRPr="00F13D19" w:rsidRDefault="003F2B7A" w:rsidP="00B43255">
            <w:pPr>
              <w:jc w:val="center"/>
              <w:cnfStyle w:val="001000000000" w:firstRow="0" w:lastRow="0" w:firstColumn="1" w:lastColumn="0" w:oddVBand="0" w:evenVBand="0" w:oddHBand="0" w:evenHBand="0" w:firstRowFirstColumn="0" w:firstRowLastColumn="0" w:lastRowFirstColumn="0" w:lastRowLastColumn="0"/>
              <w:rPr>
                <w:rFonts w:eastAsia="Times New Roman" w:cs="Times New Roman"/>
                <w:bCs w:val="0"/>
                <w:sz w:val="20"/>
                <w:szCs w:val="20"/>
                <w:lang w:eastAsia="fr-FR"/>
              </w:rPr>
            </w:pPr>
            <w:r>
              <w:rPr>
                <w:rFonts w:eastAsia="Times New Roman" w:cs="Times New Roman"/>
                <w:sz w:val="20"/>
                <w:szCs w:val="20"/>
                <w:lang w:eastAsia="fr-FR"/>
              </w:rPr>
              <w:t>NB100.X050</w:t>
            </w:r>
          </w:p>
        </w:tc>
        <w:tc>
          <w:tcPr>
            <w:tcW w:w="7655" w:type="dxa"/>
          </w:tcPr>
          <w:p w:rsidR="003F2B7A" w:rsidRPr="00C873C7" w:rsidRDefault="003F2B7A" w:rsidP="00B43255">
            <w:pPr>
              <w:rPr>
                <w:sz w:val="20"/>
                <w:szCs w:val="20"/>
              </w:rPr>
            </w:pPr>
            <w:hyperlink r:id="rId39" w:history="1">
              <w:r w:rsidRPr="00CD3AE3">
                <w:rPr>
                  <w:rStyle w:val="Lienhypertexte"/>
                  <w:sz w:val="20"/>
                  <w:szCs w:val="20"/>
                </w:rPr>
                <w:t>Rapport du (des) commissaire(s) aux comptes sur les informations financières pro forma (Anglais)</w:t>
              </w:r>
            </w:hyperlink>
          </w:p>
        </w:tc>
      </w:tr>
    </w:tbl>
    <w:p w:rsidR="003F2B7A" w:rsidRDefault="003F2B7A" w:rsidP="003F2B7A">
      <w:pPr>
        <w:pStyle w:val="CACCorps"/>
      </w:pPr>
    </w:p>
    <w:p w:rsidR="003F2B7A" w:rsidRDefault="003F2B7A" w:rsidP="003F2B7A">
      <w:pPr>
        <w:pStyle w:val="CACTitre1"/>
        <w:numPr>
          <w:ilvl w:val="0"/>
          <w:numId w:val="5"/>
        </w:numPr>
      </w:pPr>
      <w:bookmarkStart w:id="11" w:name="_Toc414274154"/>
      <w:bookmarkStart w:id="12" w:name="_Toc452384254"/>
      <w:r>
        <w:t>Textes légaux et reglementaires</w:t>
      </w:r>
      <w:bookmarkEnd w:id="11"/>
      <w:bookmarkEnd w:id="12"/>
      <w:r>
        <w:t xml:space="preserve"> </w:t>
      </w:r>
    </w:p>
    <w:p w:rsidR="003F2B7A" w:rsidRDefault="003F2B7A" w:rsidP="003F2B7A">
      <w:pPr>
        <w:pStyle w:val="CACCorps"/>
      </w:pPr>
    </w:p>
    <w:p w:rsidR="003F2B7A" w:rsidRDefault="003F2B7A" w:rsidP="003F2B7A">
      <w:pPr>
        <w:pStyle w:val="CACCorps"/>
      </w:pPr>
    </w:p>
    <w:p w:rsidR="003F2B7A" w:rsidRDefault="003F2B7A" w:rsidP="003F2B7A">
      <w:pPr>
        <w:pStyle w:val="CACCorps"/>
      </w:pPr>
    </w:p>
    <w:p w:rsidR="003F2B7A" w:rsidRDefault="003F2B7A" w:rsidP="000858C5">
      <w:pPr>
        <w:pStyle w:val="CACTitre1"/>
        <w:numPr>
          <w:ilvl w:val="0"/>
          <w:numId w:val="6"/>
        </w:numPr>
      </w:pPr>
      <w:bookmarkStart w:id="13" w:name="_Toc414274155"/>
      <w:bookmarkStart w:id="14" w:name="_Toc452384255"/>
      <w:r>
        <w:t>Formulaires eDossier concernés</w:t>
      </w:r>
      <w:bookmarkEnd w:id="13"/>
      <w:bookmarkEnd w:id="14"/>
    </w:p>
    <w:p w:rsidR="003F2B7A" w:rsidRDefault="003F2B7A" w:rsidP="003F2B7A">
      <w:pPr>
        <w:pStyle w:val="CACCorps"/>
      </w:pPr>
    </w:p>
    <w:p w:rsidR="003F2B7A" w:rsidRDefault="003F2B7A" w:rsidP="003F2B7A">
      <w:pPr>
        <w:pStyle w:val="CACCorps"/>
      </w:pPr>
    </w:p>
    <w:p w:rsidR="003F2B7A" w:rsidRDefault="003F2B7A" w:rsidP="003F2B7A">
      <w:pPr>
        <w:pStyle w:val="CACCorps"/>
      </w:pPr>
    </w:p>
    <w:p w:rsidR="003F2B7A" w:rsidRDefault="003F2B7A" w:rsidP="000858C5">
      <w:pPr>
        <w:pStyle w:val="CACTitre1"/>
        <w:numPr>
          <w:ilvl w:val="0"/>
          <w:numId w:val="7"/>
        </w:numPr>
      </w:pPr>
      <w:bookmarkStart w:id="15" w:name="_Toc414274156"/>
      <w:bookmarkStart w:id="16" w:name="_Toc452384256"/>
      <w:r>
        <w:t>Ressources de l’Intranet</w:t>
      </w:r>
      <w:bookmarkEnd w:id="15"/>
      <w:bookmarkEnd w:id="16"/>
    </w:p>
    <w:p w:rsidR="003F2B7A" w:rsidRDefault="003F2B7A" w:rsidP="003F2B7A">
      <w:pPr>
        <w:pStyle w:val="CACCorps"/>
      </w:pPr>
    </w:p>
    <w:p w:rsidR="003F2B7A" w:rsidRDefault="003F2B7A" w:rsidP="003F2B7A">
      <w:pPr>
        <w:pStyle w:val="CACCorps"/>
      </w:pPr>
    </w:p>
    <w:p w:rsidR="003F2B7A" w:rsidRDefault="003F2B7A" w:rsidP="003F2B7A">
      <w:pPr>
        <w:pStyle w:val="CACCorps"/>
      </w:pPr>
    </w:p>
    <w:p w:rsidR="003F2B7A" w:rsidRDefault="003F2B7A" w:rsidP="003F2B7A">
      <w:pPr>
        <w:pStyle w:val="CACCorps"/>
      </w:pPr>
    </w:p>
    <w:p w:rsidR="00CD4EF4" w:rsidRDefault="00CD4EF4" w:rsidP="00CD4EF4">
      <w:pPr>
        <w:pStyle w:val="CACCorps"/>
      </w:pPr>
    </w:p>
    <w:p w:rsidR="00CD4EF4" w:rsidRDefault="00CD4EF4" w:rsidP="00CD4EF4">
      <w:pPr>
        <w:pStyle w:val="CACCorps"/>
      </w:pPr>
    </w:p>
    <w:p w:rsidR="00165177" w:rsidRPr="004855CD" w:rsidRDefault="00165177" w:rsidP="00CD4EF4">
      <w:pPr>
        <w:pStyle w:val="CACCorps"/>
      </w:pPr>
    </w:p>
    <w:sectPr w:rsidR="00165177" w:rsidRPr="004855CD" w:rsidSect="0012765C">
      <w:headerReference w:type="default" r:id="rId40"/>
      <w:footerReference w:type="default" r:id="rId41"/>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8C5" w:rsidRDefault="000858C5" w:rsidP="00706B95">
      <w:r>
        <w:separator/>
      </w:r>
    </w:p>
  </w:endnote>
  <w:endnote w:type="continuationSeparator" w:id="0">
    <w:p w:rsidR="000858C5" w:rsidRDefault="000858C5"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374FE8"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659598F9" wp14:editId="371A769A">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822370">
                            <w:rPr>
                              <w:b/>
                              <w:color w:val="241820" w:themeColor="accent4" w:themeShade="80"/>
                            </w:rPr>
                            <w:t>Mai</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E50D53" w:rsidRPr="00E50D53">
                            <w:rPr>
                              <w:b/>
                              <w:color w:val="241820" w:themeColor="accent4" w:themeShade="80"/>
                            </w:rPr>
                            <w:t xml:space="preserve">Chapitre </w:t>
                          </w:r>
                          <w:r w:rsidR="003F2B7A" w:rsidRPr="003F2B7A">
                            <w:rPr>
                              <w:b/>
                              <w:color w:val="241820" w:themeColor="accent4" w:themeShade="80"/>
                            </w:rPr>
                            <w:t>2410 – Marché réglementé actions</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028"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822370">
                      <w:rPr>
                        <w:b/>
                        <w:color w:val="241820" w:themeColor="accent4" w:themeShade="80"/>
                      </w:rPr>
                      <w:t>Mai</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E50D53" w:rsidRPr="00E50D53">
                      <w:rPr>
                        <w:b/>
                        <w:color w:val="241820" w:themeColor="accent4" w:themeShade="80"/>
                      </w:rPr>
                      <w:t xml:space="preserve">Chapitre </w:t>
                    </w:r>
                    <w:r w:rsidR="003F2B7A" w:rsidRPr="003F2B7A">
                      <w:rPr>
                        <w:b/>
                        <w:color w:val="241820" w:themeColor="accent4" w:themeShade="80"/>
                      </w:rPr>
                      <w:t>2410 – Marché réglementé actions</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p>
                </w:txbxContent>
              </v:textbox>
            </v:shape>
          </w:pict>
        </mc:Fallback>
      </mc:AlternateContent>
    </w:r>
    <w:r w:rsidR="007E0487">
      <w:rPr>
        <w:b/>
        <w:noProof/>
        <w:color w:val="0070C0"/>
        <w:sz w:val="52"/>
        <w:szCs w:val="52"/>
        <w:lang w:eastAsia="fr-FR"/>
      </w:rPr>
      <mc:AlternateContent>
        <mc:Choice Requires="wps">
          <w:drawing>
            <wp:anchor distT="0" distB="0" distL="114300" distR="114300" simplePos="0" relativeHeight="251667456" behindDoc="0" locked="0" layoutInCell="1" allowOverlap="1" wp14:anchorId="0D44CC3D" wp14:editId="235BEEEB">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8C5" w:rsidRDefault="000858C5" w:rsidP="00706B95">
      <w:r>
        <w:separator/>
      </w:r>
    </w:p>
  </w:footnote>
  <w:footnote w:type="continuationSeparator" w:id="0">
    <w:p w:rsidR="000858C5" w:rsidRDefault="000858C5" w:rsidP="00706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7E0487">
    <w:pPr>
      <w:pStyle w:val="En-tte"/>
    </w:pPr>
    <w:r>
      <w:rPr>
        <w:noProof/>
        <w:lang w:eastAsia="fr-FR"/>
      </w:rPr>
      <mc:AlternateContent>
        <mc:Choice Requires="wps">
          <w:drawing>
            <wp:anchor distT="0" distB="0" distL="114300" distR="114300" simplePos="0" relativeHeight="251659264" behindDoc="0" locked="0" layoutInCell="0" allowOverlap="1" wp14:anchorId="53B851B5" wp14:editId="61237700">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3F2B7A" w:rsidRPr="003F2B7A">
                            <w:rPr>
                              <w:b/>
                              <w:bCs/>
                              <w:noProof/>
                              <w:color w:val="FFFFFF" w:themeColor="background1"/>
                              <w:szCs w:val="20"/>
                            </w:rPr>
                            <w:t>1</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3F2B7A">
                            <w:rPr>
                              <w:b/>
                              <w:bCs/>
                              <w:noProof/>
                              <w:color w:val="FFFFFF" w:themeColor="background1"/>
                              <w:szCs w:val="20"/>
                            </w:rPr>
                            <w:t>15</w:t>
                          </w:r>
                          <w:r w:rsidR="00C436FD">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27"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3F2B7A" w:rsidRPr="003F2B7A">
                      <w:rPr>
                        <w:b/>
                        <w:bCs/>
                        <w:noProof/>
                        <w:color w:val="FFFFFF" w:themeColor="background1"/>
                        <w:szCs w:val="20"/>
                      </w:rPr>
                      <w:t>1</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3F2B7A">
                      <w:rPr>
                        <w:b/>
                        <w:bCs/>
                        <w:noProof/>
                        <w:color w:val="FFFFFF" w:themeColor="background1"/>
                        <w:szCs w:val="20"/>
                      </w:rPr>
                      <w:t>15</w:t>
                    </w:r>
                    <w:r w:rsidR="00C436FD">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28992A92" wp14:editId="1702E847">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
  </w:num>
  <w:num w:numId="4">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AB2"/>
    <w:rsid w:val="0002760D"/>
    <w:rsid w:val="00032F60"/>
    <w:rsid w:val="00034926"/>
    <w:rsid w:val="000858C5"/>
    <w:rsid w:val="000A208C"/>
    <w:rsid w:val="000D236B"/>
    <w:rsid w:val="000D6C13"/>
    <w:rsid w:val="00116522"/>
    <w:rsid w:val="001231AF"/>
    <w:rsid w:val="0012765C"/>
    <w:rsid w:val="00165177"/>
    <w:rsid w:val="001A2723"/>
    <w:rsid w:val="001B0BCE"/>
    <w:rsid w:val="00223A30"/>
    <w:rsid w:val="00232D74"/>
    <w:rsid w:val="00235B02"/>
    <w:rsid w:val="0027523B"/>
    <w:rsid w:val="00283853"/>
    <w:rsid w:val="0028777F"/>
    <w:rsid w:val="002A06C9"/>
    <w:rsid w:val="002C3791"/>
    <w:rsid w:val="002C594E"/>
    <w:rsid w:val="002D4C6D"/>
    <w:rsid w:val="002E3B5B"/>
    <w:rsid w:val="002F4958"/>
    <w:rsid w:val="00370257"/>
    <w:rsid w:val="00374FE8"/>
    <w:rsid w:val="00396A8D"/>
    <w:rsid w:val="003B7949"/>
    <w:rsid w:val="003C0504"/>
    <w:rsid w:val="003E5E9F"/>
    <w:rsid w:val="003F2B7A"/>
    <w:rsid w:val="00400B7A"/>
    <w:rsid w:val="00405446"/>
    <w:rsid w:val="004210AD"/>
    <w:rsid w:val="00453544"/>
    <w:rsid w:val="00464668"/>
    <w:rsid w:val="00470965"/>
    <w:rsid w:val="0048204F"/>
    <w:rsid w:val="0049164E"/>
    <w:rsid w:val="00507E43"/>
    <w:rsid w:val="00510FB1"/>
    <w:rsid w:val="005309CE"/>
    <w:rsid w:val="0058523B"/>
    <w:rsid w:val="00590552"/>
    <w:rsid w:val="005C4DDC"/>
    <w:rsid w:val="005C5414"/>
    <w:rsid w:val="005D1AC7"/>
    <w:rsid w:val="00656DF2"/>
    <w:rsid w:val="00684825"/>
    <w:rsid w:val="006A665B"/>
    <w:rsid w:val="006B0623"/>
    <w:rsid w:val="00706B95"/>
    <w:rsid w:val="007430C0"/>
    <w:rsid w:val="00747FC1"/>
    <w:rsid w:val="0079078B"/>
    <w:rsid w:val="007B72A5"/>
    <w:rsid w:val="007E0487"/>
    <w:rsid w:val="00822370"/>
    <w:rsid w:val="00827DD2"/>
    <w:rsid w:val="0086530A"/>
    <w:rsid w:val="008B1B1A"/>
    <w:rsid w:val="008C3C87"/>
    <w:rsid w:val="00917252"/>
    <w:rsid w:val="00952337"/>
    <w:rsid w:val="00985251"/>
    <w:rsid w:val="009F2684"/>
    <w:rsid w:val="00A12123"/>
    <w:rsid w:val="00A157BB"/>
    <w:rsid w:val="00A521C4"/>
    <w:rsid w:val="00A94979"/>
    <w:rsid w:val="00A97E14"/>
    <w:rsid w:val="00AA5D89"/>
    <w:rsid w:val="00AB6EEF"/>
    <w:rsid w:val="00AE6E57"/>
    <w:rsid w:val="00AE782A"/>
    <w:rsid w:val="00AF3C27"/>
    <w:rsid w:val="00B66734"/>
    <w:rsid w:val="00BA15AB"/>
    <w:rsid w:val="00BC0BFC"/>
    <w:rsid w:val="00BE37AB"/>
    <w:rsid w:val="00BF15E4"/>
    <w:rsid w:val="00BF1BD6"/>
    <w:rsid w:val="00C17ACF"/>
    <w:rsid w:val="00C404FC"/>
    <w:rsid w:val="00C41132"/>
    <w:rsid w:val="00C436FD"/>
    <w:rsid w:val="00C802FA"/>
    <w:rsid w:val="00CA35AB"/>
    <w:rsid w:val="00CA45DC"/>
    <w:rsid w:val="00CD4EF4"/>
    <w:rsid w:val="00CF0659"/>
    <w:rsid w:val="00D4068A"/>
    <w:rsid w:val="00D47C40"/>
    <w:rsid w:val="00D66390"/>
    <w:rsid w:val="00DA2B39"/>
    <w:rsid w:val="00E00632"/>
    <w:rsid w:val="00E50D53"/>
    <w:rsid w:val="00E50D9E"/>
    <w:rsid w:val="00E64FC3"/>
    <w:rsid w:val="00E74A62"/>
    <w:rsid w:val="00EB04D7"/>
    <w:rsid w:val="00EB2DBB"/>
    <w:rsid w:val="00EB3AEC"/>
    <w:rsid w:val="00EC2488"/>
    <w:rsid w:val="00EE5E04"/>
    <w:rsid w:val="00EF2621"/>
    <w:rsid w:val="00F00733"/>
    <w:rsid w:val="00F04F2D"/>
    <w:rsid w:val="00F05CB7"/>
    <w:rsid w:val="00F072B9"/>
    <w:rsid w:val="00F178CD"/>
    <w:rsid w:val="00F360EB"/>
    <w:rsid w:val="00F63429"/>
    <w:rsid w:val="00F6595F"/>
    <w:rsid w:val="00F726BB"/>
    <w:rsid w:val="00F91BC0"/>
    <w:rsid w:val="00F93ACF"/>
    <w:rsid w:val="00FA0079"/>
    <w:rsid w:val="00FA0A35"/>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1"/>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table" w:styleId="Listeclaire">
    <w:name w:val="Light List"/>
    <w:basedOn w:val="TableauNormal"/>
    <w:uiPriority w:val="61"/>
    <w:rsid w:val="003F2B7A"/>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Lienhypertextesuivivisit">
    <w:name w:val="FollowedHyperlink"/>
    <w:basedOn w:val="Policepardfaut"/>
    <w:uiPriority w:val="99"/>
    <w:semiHidden/>
    <w:unhideWhenUsed/>
    <w:rsid w:val="003F2B7A"/>
    <w:rPr>
      <w:color w:val="FF79C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1"/>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table" w:styleId="Listeclaire">
    <w:name w:val="Light List"/>
    <w:basedOn w:val="TableauNormal"/>
    <w:uiPriority w:val="61"/>
    <w:rsid w:val="003F2B7A"/>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Lienhypertextesuivivisit">
    <w:name w:val="FollowedHyperlink"/>
    <w:basedOn w:val="Policepardfaut"/>
    <w:uiPriority w:val="99"/>
    <w:semiHidden/>
    <w:unhideWhenUsed/>
    <w:rsid w:val="003F2B7A"/>
    <w:rPr>
      <w:color w:val="FF79C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Documents%20and%20Settings\MAM\Bureau\BoiteOutils%2030-05-2016\Outils%20et%20mod&#232;les\AUTRES%20MISSIONS\N\NB100\NB100.X001.doc" TargetMode="External"/><Relationship Id="rId18" Type="http://schemas.openxmlformats.org/officeDocument/2006/relationships/hyperlink" Target="file:///C:\Documents%20and%20Settings\MAM\Bureau\BoiteOutils%2030-05-2016\Outils%20et%20mod&#232;les\AUTRES%20MISSIONS\N\NB100\NB100.X012.doc" TargetMode="External"/><Relationship Id="rId26" Type="http://schemas.openxmlformats.org/officeDocument/2006/relationships/hyperlink" Target="file:///C:\Documents%20and%20Settings\MAM\Bureau\BoiteOutils%2030-05-2016\Outils%20et%20mod&#232;les\AUTRES%20MISSIONS\N\NB100\NB100.X027.doc" TargetMode="External"/><Relationship Id="rId39" Type="http://schemas.openxmlformats.org/officeDocument/2006/relationships/hyperlink" Target="file:///C:\Documents%20and%20Settings\MAM\Bureau\BoiteOutils%2030-05-2016\Outils%20et%20mod&#232;les\AUTRES%20MISSIONS\N\NB100\NB100.X050.doc" TargetMode="External"/><Relationship Id="rId3" Type="http://schemas.openxmlformats.org/officeDocument/2006/relationships/numbering" Target="numbering.xml"/><Relationship Id="rId21" Type="http://schemas.openxmlformats.org/officeDocument/2006/relationships/hyperlink" Target="file:///C:\Documents%20and%20Settings\MAM\Bureau\BoiteOutils%2030-05-2016\Outils%20et%20mod&#232;les\AUTRES%20MISSIONS\N\NB100\NB100.X021.doc" TargetMode="External"/><Relationship Id="rId34" Type="http://schemas.openxmlformats.org/officeDocument/2006/relationships/hyperlink" Target="file:///C:\Documents%20and%20Settings\MAM\Bureau\BoiteOutils%2030-05-2016\Outils%20et%20mod&#232;les\AUTRES%20MISSIONS\N\NB100\NB100.X045.doc" TargetMode="Externa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file:///C:\Documents%20and%20Settings\MAM\Bureau\BoiteOutils%2030-05-2016\Outils%20et%20mod&#232;les\AUTRES%20MISSIONS\N\NB100\NB100.X011.doc" TargetMode="External"/><Relationship Id="rId25" Type="http://schemas.openxmlformats.org/officeDocument/2006/relationships/hyperlink" Target="file:///C:\Documents%20and%20Settings\MAM\Bureau\BoiteOutils%2030-05-2016\Outils%20et%20mod&#232;les\AUTRES%20MISSIONS\N\NB100\NB100.X025.doc" TargetMode="External"/><Relationship Id="rId33" Type="http://schemas.openxmlformats.org/officeDocument/2006/relationships/hyperlink" Target="file:///C:\Documents%20and%20Settings\MAM\Bureau\BoiteOutils%2030-05-2016\Outils%20et%20mod&#232;les\AUTRES%20MISSIONS\N\NB100\NB100.X044.doc" TargetMode="External"/><Relationship Id="rId38" Type="http://schemas.openxmlformats.org/officeDocument/2006/relationships/hyperlink" Target="file:///C:\Documents%20and%20Settings\MAM\Bureau\BoiteOutils%2030-05-2016\Outils%20et%20mod&#232;les\AUTRES%20MISSIONS\N\NB100\NB100.X049.doc" TargetMode="External"/><Relationship Id="rId2" Type="http://schemas.openxmlformats.org/officeDocument/2006/relationships/customXml" Target="../customXml/item2.xml"/><Relationship Id="rId16" Type="http://schemas.openxmlformats.org/officeDocument/2006/relationships/hyperlink" Target="file:///C:\Documents%20and%20Settings\MAM\Bureau\BoiteOutils%2030-05-2016\Outils%20et%20mod&#232;les\AUTRES%20MISSIONS\N\NB100\NB100.X004.doc" TargetMode="External"/><Relationship Id="rId20" Type="http://schemas.openxmlformats.org/officeDocument/2006/relationships/hyperlink" Target="file:///C:\Documents%20and%20Settings\MAM\Bureau\BoiteOutils%2030-05-2016\Outils%20et%20mod&#232;les\AUTRES%20MISSIONS\N\NB100\NB100.X020.doc" TargetMode="External"/><Relationship Id="rId29" Type="http://schemas.openxmlformats.org/officeDocument/2006/relationships/hyperlink" Target="file:///C:\Documents%20and%20Settings\MAM\Bureau\BoiteOutils%2030-05-2016\Outils%20et%20mod&#232;les\AUTRES%20MISSIONS\N\NB100\NB100.X040.doc"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file:///C:\Documents%20and%20Settings\MAM\Bureau\BoiteOutils%2030-05-2016\Outils%20et%20mod&#232;les\AUTRES%20MISSIONS\N\NB100\NB100.X024.doc" TargetMode="External"/><Relationship Id="rId32" Type="http://schemas.openxmlformats.org/officeDocument/2006/relationships/hyperlink" Target="file:///C:\Documents%20and%20Settings\MAM\Bureau\BoiteOutils%2030-05-2016\Outils%20et%20mod&#232;les\AUTRES%20MISSIONS\N\NB100\NB100.X043.doc" TargetMode="External"/><Relationship Id="rId37" Type="http://schemas.openxmlformats.org/officeDocument/2006/relationships/hyperlink" Target="file:///C:\Documents%20and%20Settings\MAM\Bureau\BoiteOutils%2030-05-2016\Outils%20et%20mod&#232;les\AUTRES%20MISSIONS\N\NB100\NB100.X048.doc" TargetMode="External"/><Relationship Id="rId40"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file:///C:\Documents%20and%20Settings\MAM\Bureau\BoiteOutils%2030-05-2016\Outils%20et%20mod&#232;les\AUTRES%20MISSIONS\N\NB100\NB100.X003.doc" TargetMode="External"/><Relationship Id="rId23" Type="http://schemas.openxmlformats.org/officeDocument/2006/relationships/hyperlink" Target="file:///C:\Documents%20and%20Settings\MAM\Bureau\BoiteOutils%2030-05-2016\Outils%20et%20mod&#232;les\AUTRES%20MISSIONS\N\NB100\NB100.X023.doc" TargetMode="External"/><Relationship Id="rId28" Type="http://schemas.openxmlformats.org/officeDocument/2006/relationships/hyperlink" Target="file:///C:\Documents%20and%20Settings\MAM\Bureau\BoiteOutils%2030-05-2016\Outils%20et%20mod&#232;les\AUTRES%20MISSIONS\N\NB100\NB100.X029.doc" TargetMode="External"/><Relationship Id="rId36" Type="http://schemas.openxmlformats.org/officeDocument/2006/relationships/hyperlink" Target="file:///C:\Documents%20and%20Settings\MAM\Bureau\BoiteOutils%2030-05-2016\Outils%20et%20mod&#232;les\AUTRES%20MISSIONS\N\NB100\NB100.X047.doc" TargetMode="External"/><Relationship Id="rId10" Type="http://schemas.openxmlformats.org/officeDocument/2006/relationships/image" Target="media/image1.png"/><Relationship Id="rId19" Type="http://schemas.openxmlformats.org/officeDocument/2006/relationships/hyperlink" Target="file:///C:\Documents%20and%20Settings\MAM\Bureau\BoiteOutils%2030-05-2016\Outils%20et%20mod&#232;les\AUTRES%20MISSIONS\N\NB100\NB100.X013.doc" TargetMode="External"/><Relationship Id="rId31" Type="http://schemas.openxmlformats.org/officeDocument/2006/relationships/hyperlink" Target="file:///C:\Documents%20and%20Settings\MAM\Bureau\BoiteOutils%2030-05-2016\Outils%20et%20mod&#232;les\AUTRES%20MISSIONS\N\NB100\NB100.X043.doc"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Documents%20and%20Settings\MAM\Bureau\BoiteOutils%2030-05-2016\Outils%20et%20mod&#232;les\AUTRES%20MISSIONS\N\NB100\NB100.X002.doc" TargetMode="External"/><Relationship Id="rId22" Type="http://schemas.openxmlformats.org/officeDocument/2006/relationships/hyperlink" Target="file:///C:\Documents%20and%20Settings\MAM\Bureau\BoiteOutils%2030-05-2016\Outils%20et%20mod&#232;les\AUTRES%20MISSIONS\N\NB100\NB100.X022.doc" TargetMode="External"/><Relationship Id="rId27" Type="http://schemas.openxmlformats.org/officeDocument/2006/relationships/hyperlink" Target="file:///C:\Documents%20and%20Settings\MAM\Bureau\BoiteOutils%2030-05-2016\Outils%20et%20mod&#232;les\AUTRES%20MISSIONS\N\NB100\NB100.X028.doc" TargetMode="External"/><Relationship Id="rId30" Type="http://schemas.openxmlformats.org/officeDocument/2006/relationships/hyperlink" Target="file:///C:\Documents%20and%20Settings\MAM\Bureau\BoiteOutils%2030-05-2016\Outils%20et%20mod&#232;les\AUTRES%20MISSIONS\N\NB100\NB100.X041.doc" TargetMode="External"/><Relationship Id="rId35" Type="http://schemas.openxmlformats.org/officeDocument/2006/relationships/hyperlink" Target="file:///C:\Documents%20and%20Settings\MAM\Bureau\BoiteOutils%2030-05-2016\Outils%20et%20mod&#232;les\AUTRES%20MISSIONS\N\NB100\NB100.X046.doc" TargetMode="External"/><Relationship Id="rId43" Type="http://schemas.openxmlformats.org/officeDocument/2006/relationships/theme" Target="theme/theme1.xm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Marché réglementé actions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AD304C-40E0-4BFC-A99D-07A04AD60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5294</Words>
  <Characters>29117</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Chapitre 24</vt:lpstr>
    </vt:vector>
  </TitlesOfParts>
  <Company>Microsoft</Company>
  <LinksUpToDate>false</LinksUpToDate>
  <CharactersWithSpaces>34343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2410</dc:title>
  <dc:creator>ATH</dc:creator>
  <cp:lastModifiedBy>Martine MICHEL</cp:lastModifiedBy>
  <cp:revision>2</cp:revision>
  <cp:lastPrinted>2016-05-25T09:36:00Z</cp:lastPrinted>
  <dcterms:created xsi:type="dcterms:W3CDTF">2016-05-30T13:08:00Z</dcterms:created>
  <dcterms:modified xsi:type="dcterms:W3CDTF">2016-05-30T13:08:00Z</dcterms:modified>
</cp:coreProperties>
</file>